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990C4E">
      <w:pPr>
        <w:pStyle w:val="7"/>
        <w:keepNext w:val="0"/>
        <w:keepLines w:val="0"/>
        <w:pageBreakBefore w:val="0"/>
        <w:widowControl w:val="0"/>
        <w:kinsoku/>
        <w:wordWrap/>
        <w:overflowPunct/>
        <w:topLinePunct w:val="0"/>
        <w:autoSpaceDE/>
        <w:autoSpaceDN/>
        <w:bidi w:val="0"/>
        <w:adjustRightInd/>
        <w:snapToGrid w:val="0"/>
        <w:spacing w:before="0" w:after="0" w:line="360" w:lineRule="auto"/>
        <w:jc w:val="center"/>
        <w:textAlignment w:val="auto"/>
        <w:outlineLvl w:val="2"/>
        <w:rPr>
          <w:rFonts w:hint="eastAsia"/>
          <w:lang w:val="en-US" w:eastAsia="zh-CN"/>
        </w:rPr>
      </w:pPr>
      <w:r>
        <w:rPr>
          <w:rFonts w:hint="eastAsia" w:ascii="宋体" w:hAnsi="宋体" w:cs="宋体"/>
          <w:b/>
          <w:bCs w:val="0"/>
          <w:sz w:val="56"/>
          <w:szCs w:val="56"/>
          <w:highlight w:val="none"/>
          <w:lang w:val="en-US" w:eastAsia="zh-CN"/>
        </w:rPr>
        <w:t>初步采购需求</w:t>
      </w:r>
    </w:p>
    <w:p w14:paraId="60C8E429">
      <w:pPr>
        <w:pStyle w:val="7"/>
        <w:keepNext w:val="0"/>
        <w:keepLines w:val="0"/>
        <w:pageBreakBefore w:val="0"/>
        <w:widowControl w:val="0"/>
        <w:kinsoku/>
        <w:wordWrap/>
        <w:overflowPunct/>
        <w:topLinePunct w:val="0"/>
        <w:autoSpaceDE/>
        <w:autoSpaceDN/>
        <w:bidi w:val="0"/>
        <w:adjustRightInd/>
        <w:snapToGrid w:val="0"/>
        <w:spacing w:before="0" w:after="0" w:line="360" w:lineRule="auto"/>
        <w:textAlignment w:val="auto"/>
        <w:outlineLvl w:val="2"/>
        <w:rPr>
          <w:rFonts w:hint="default" w:ascii="宋体" w:hAnsi="宋体" w:eastAsia="宋体" w:cs="宋体"/>
          <w:b/>
          <w:bCs w:val="0"/>
          <w:sz w:val="28"/>
          <w:szCs w:val="28"/>
          <w:highlight w:val="none"/>
          <w:lang w:val="en-US" w:eastAsia="zh-CN"/>
        </w:rPr>
      </w:pPr>
      <w:r>
        <w:rPr>
          <w:rFonts w:hint="eastAsia" w:ascii="宋体" w:hAnsi="宋体" w:cs="宋体"/>
          <w:b/>
          <w:bCs w:val="0"/>
          <w:sz w:val="28"/>
          <w:szCs w:val="28"/>
          <w:highlight w:val="none"/>
          <w:lang w:val="en-US" w:eastAsia="zh-CN"/>
        </w:rPr>
        <w:t>技术（服务）要求</w:t>
      </w:r>
    </w:p>
    <w:p w14:paraId="6AAEB842">
      <w:pPr>
        <w:pStyle w:val="7"/>
        <w:keepNext w:val="0"/>
        <w:keepLines w:val="0"/>
        <w:pageBreakBefore w:val="0"/>
        <w:widowControl w:val="0"/>
        <w:kinsoku/>
        <w:wordWrap/>
        <w:overflowPunct/>
        <w:topLinePunct w:val="0"/>
        <w:autoSpaceDE/>
        <w:autoSpaceDN/>
        <w:bidi w:val="0"/>
        <w:adjustRightInd/>
        <w:snapToGrid w:val="0"/>
        <w:spacing w:before="0" w:after="0" w:line="360" w:lineRule="auto"/>
        <w:textAlignment w:val="auto"/>
        <w:outlineLvl w:val="2"/>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lang w:val="en-US" w:eastAsia="zh-CN"/>
        </w:rPr>
        <w:t>一、</w:t>
      </w:r>
      <w:r>
        <w:rPr>
          <w:rFonts w:hint="eastAsia" w:ascii="宋体" w:hAnsi="宋体" w:eastAsia="宋体" w:cs="宋体"/>
          <w:b/>
          <w:bCs w:val="0"/>
          <w:sz w:val="24"/>
          <w:szCs w:val="24"/>
          <w:highlight w:val="none"/>
        </w:rPr>
        <w:t>基本概况</w:t>
      </w:r>
    </w:p>
    <w:p w14:paraId="769F7935">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（一）服务范围：根据要求完成</w:t>
      </w:r>
      <w:r>
        <w:rPr>
          <w:rFonts w:hint="eastAsia" w:ascii="宋体" w:hAnsi="宋体" w:eastAsia="宋体" w:cs="宋体"/>
          <w:szCs w:val="24"/>
          <w:highlight w:val="none"/>
          <w:lang w:val="en-US" w:eastAsia="zh-CN"/>
        </w:rPr>
        <w:t>清咽喉合剂</w:t>
      </w:r>
      <w:r>
        <w:rPr>
          <w:rFonts w:hint="eastAsia" w:ascii="宋体" w:hAnsi="宋体" w:eastAsia="宋体" w:cs="宋体"/>
          <w:szCs w:val="24"/>
          <w:highlight w:val="none"/>
        </w:rPr>
        <w:t>的加工服务，服务内容包括制剂委托配制批件申报服务；委托配制试生产；以及委托配制期间物料采购（包括原辅料、内外包装材料、标签及说明书等生产物料）、生产检验、仓储与运输配送等。</w:t>
      </w:r>
    </w:p>
    <w:p w14:paraId="05EEDBF8">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二）服务要求：满足医院的用药需求，按时按量按标准提供合格的制剂，并配合采购人完成符合主管部门要求的相关质量研究和标准提高工作，不影响医院的临床使用。采购人有权随时对合同履约过程进行监督、抽查、检验，并不定期安排专人进行现场监督。</w:t>
      </w:r>
    </w:p>
    <w:p w14:paraId="29336073">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（三）服务时间（履行期限）：自合同签订之日起3年或者累计结算金额达到本项目采购预算时止，先到者为准。</w:t>
      </w:r>
    </w:p>
    <w:p w14:paraId="1CFF5967">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（四）服务标准：所有制剂必须符合《中国药典》现行版、《广东省医疗机构制剂规范》《医疗机构制剂注册管理办法》《广东省医疗机构制剂注册与备案实施细则》、医疗机构制剂注册标准等。</w:t>
      </w:r>
    </w:p>
    <w:p w14:paraId="21D4F803">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（五）项目一览表</w:t>
      </w:r>
    </w:p>
    <w:tbl>
      <w:tblPr>
        <w:tblStyle w:val="4"/>
        <w:tblW w:w="40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
        <w:gridCol w:w="2202"/>
        <w:gridCol w:w="1885"/>
        <w:gridCol w:w="1798"/>
      </w:tblGrid>
      <w:tr w14:paraId="7DE17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3" w:type="pct"/>
            <w:noWrap w:val="0"/>
            <w:vAlign w:val="center"/>
          </w:tcPr>
          <w:p w14:paraId="18AA144F">
            <w:pPr>
              <w:pStyle w:val="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603" w:type="pct"/>
            <w:noWrap w:val="0"/>
            <w:vAlign w:val="center"/>
          </w:tcPr>
          <w:p w14:paraId="776E6D32">
            <w:pPr>
              <w:pStyle w:val="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采购标的</w:t>
            </w:r>
          </w:p>
        </w:tc>
        <w:tc>
          <w:tcPr>
            <w:tcW w:w="1372" w:type="pct"/>
            <w:noWrap w:val="0"/>
            <w:vAlign w:val="center"/>
          </w:tcPr>
          <w:p w14:paraId="7F85A611">
            <w:pPr>
              <w:pStyle w:val="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加工产品名称</w:t>
            </w:r>
          </w:p>
        </w:tc>
        <w:tc>
          <w:tcPr>
            <w:tcW w:w="1309" w:type="pct"/>
            <w:noWrap w:val="0"/>
            <w:vAlign w:val="center"/>
          </w:tcPr>
          <w:p w14:paraId="0BF46F4E">
            <w:pPr>
              <w:pStyle w:val="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规格</w:t>
            </w:r>
          </w:p>
        </w:tc>
      </w:tr>
      <w:tr w14:paraId="1D0D7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3" w:type="pct"/>
            <w:vMerge w:val="restart"/>
            <w:noWrap w:val="0"/>
            <w:vAlign w:val="center"/>
          </w:tcPr>
          <w:p w14:paraId="0629F6EE">
            <w:pPr>
              <w:pStyle w:val="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1603" w:type="pct"/>
            <w:vMerge w:val="restart"/>
            <w:noWrap w:val="0"/>
            <w:vAlign w:val="center"/>
          </w:tcPr>
          <w:p w14:paraId="1768AA64">
            <w:pPr>
              <w:pStyle w:val="7"/>
              <w:jc w:val="center"/>
              <w:rPr>
                <w:rFonts w:hint="eastAsia" w:ascii="宋体" w:hAnsi="宋体" w:eastAsia="宋体" w:cs="宋体"/>
                <w:sz w:val="24"/>
                <w:szCs w:val="24"/>
                <w:highlight w:val="none"/>
              </w:rPr>
            </w:pPr>
            <w:r>
              <w:rPr>
                <w:rFonts w:hint="eastAsia" w:ascii="宋体" w:hAnsi="宋体" w:eastAsia="宋体" w:cs="宋体"/>
                <w:kern w:val="0"/>
                <w:sz w:val="24"/>
                <w:szCs w:val="24"/>
                <w:highlight w:val="none"/>
                <w:lang w:eastAsia="zh-CN"/>
              </w:rPr>
              <w:t>制剂委托配制服务</w:t>
            </w:r>
          </w:p>
        </w:tc>
        <w:tc>
          <w:tcPr>
            <w:tcW w:w="1372" w:type="pct"/>
            <w:vMerge w:val="restart"/>
            <w:noWrap w:val="0"/>
            <w:vAlign w:val="center"/>
          </w:tcPr>
          <w:p w14:paraId="00CFF1B6">
            <w:pPr>
              <w:pStyle w:val="7"/>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清咽喉合剂</w:t>
            </w:r>
          </w:p>
        </w:tc>
        <w:tc>
          <w:tcPr>
            <w:tcW w:w="1309" w:type="pct"/>
            <w:noWrap w:val="0"/>
            <w:vAlign w:val="center"/>
          </w:tcPr>
          <w:p w14:paraId="257E86D2">
            <w:pPr>
              <w:pStyle w:val="7"/>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30ml</w:t>
            </w:r>
          </w:p>
        </w:tc>
      </w:tr>
      <w:tr w14:paraId="25D78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3" w:type="pct"/>
            <w:vMerge w:val="continue"/>
            <w:noWrap w:val="0"/>
            <w:vAlign w:val="center"/>
          </w:tcPr>
          <w:p w14:paraId="05AAEDFA">
            <w:pPr>
              <w:pStyle w:val="7"/>
              <w:jc w:val="center"/>
              <w:rPr>
                <w:rFonts w:hint="eastAsia" w:ascii="宋体" w:hAnsi="宋体" w:eastAsia="宋体" w:cs="宋体"/>
                <w:sz w:val="24"/>
                <w:szCs w:val="24"/>
                <w:highlight w:val="none"/>
              </w:rPr>
            </w:pPr>
          </w:p>
        </w:tc>
        <w:tc>
          <w:tcPr>
            <w:tcW w:w="1603" w:type="pct"/>
            <w:vMerge w:val="continue"/>
            <w:noWrap w:val="0"/>
            <w:vAlign w:val="center"/>
          </w:tcPr>
          <w:p w14:paraId="5FB0A8A0">
            <w:pPr>
              <w:pStyle w:val="7"/>
              <w:jc w:val="center"/>
              <w:rPr>
                <w:rFonts w:hint="eastAsia" w:ascii="宋体" w:hAnsi="宋体" w:eastAsia="宋体" w:cs="宋体"/>
                <w:sz w:val="24"/>
                <w:szCs w:val="24"/>
                <w:highlight w:val="none"/>
              </w:rPr>
            </w:pPr>
          </w:p>
        </w:tc>
        <w:tc>
          <w:tcPr>
            <w:tcW w:w="1372" w:type="pct"/>
            <w:vMerge w:val="continue"/>
            <w:noWrap w:val="0"/>
            <w:vAlign w:val="center"/>
          </w:tcPr>
          <w:p w14:paraId="08FF592F">
            <w:pPr>
              <w:pStyle w:val="7"/>
              <w:jc w:val="center"/>
              <w:rPr>
                <w:rFonts w:hint="eastAsia" w:ascii="宋体" w:hAnsi="宋体" w:eastAsia="宋体" w:cs="宋体"/>
                <w:sz w:val="24"/>
                <w:szCs w:val="24"/>
                <w:highlight w:val="none"/>
              </w:rPr>
            </w:pPr>
          </w:p>
        </w:tc>
        <w:tc>
          <w:tcPr>
            <w:tcW w:w="1309" w:type="pct"/>
            <w:noWrap w:val="0"/>
            <w:vAlign w:val="center"/>
          </w:tcPr>
          <w:p w14:paraId="2B35D1D9">
            <w:pPr>
              <w:pStyle w:val="7"/>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100ml</w:t>
            </w:r>
          </w:p>
        </w:tc>
      </w:tr>
    </w:tbl>
    <w:p w14:paraId="6340592F">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注：三年的预估量仅作为报价的参考值，便于投标人报价。实际采购量以采购人每批次的订单量为准，结算金额以中标单价及实际采购量为依据，合同金额为本项目采购预算，累计结算金额不得超过采购预算。</w:t>
      </w:r>
    </w:p>
    <w:p w14:paraId="17951559">
      <w:pPr>
        <w:pStyle w:val="7"/>
        <w:rPr>
          <w:rFonts w:hint="eastAsia" w:ascii="宋体" w:hAnsi="宋体" w:eastAsia="宋体" w:cs="宋体"/>
          <w:sz w:val="24"/>
          <w:szCs w:val="24"/>
          <w:highlight w:val="none"/>
          <w:lang w:val="en-US" w:eastAsia="zh-CN"/>
        </w:rPr>
      </w:pPr>
    </w:p>
    <w:p w14:paraId="1277F1E2">
      <w:pPr>
        <w:pStyle w:val="7"/>
        <w:keepNext w:val="0"/>
        <w:keepLines w:val="0"/>
        <w:pageBreakBefore w:val="0"/>
        <w:widowControl w:val="0"/>
        <w:kinsoku/>
        <w:wordWrap/>
        <w:overflowPunct/>
        <w:topLinePunct w:val="0"/>
        <w:autoSpaceDE/>
        <w:autoSpaceDN/>
        <w:bidi w:val="0"/>
        <w:adjustRightInd/>
        <w:snapToGrid w:val="0"/>
        <w:spacing w:before="0" w:after="0" w:line="360" w:lineRule="auto"/>
        <w:textAlignment w:val="auto"/>
        <w:outlineLvl w:val="2"/>
        <w:rPr>
          <w:rFonts w:hint="eastAsia"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lang w:val="en-US" w:eastAsia="zh-CN"/>
        </w:rPr>
        <w:t>二、服务要求</w:t>
      </w:r>
    </w:p>
    <w:p w14:paraId="3F92BA92">
      <w:pPr>
        <w:autoSpaceDE w:val="0"/>
        <w:autoSpaceDN w:val="0"/>
        <w:ind w:firstLine="480" w:firstLineChars="200"/>
        <w:rPr>
          <w:rFonts w:hint="eastAsia" w:ascii="宋体" w:hAnsi="宋体" w:eastAsia="宋体" w:cs="宋体"/>
          <w:szCs w:val="24"/>
          <w:highlight w:val="none"/>
          <w:lang w:eastAsia="zh-CN"/>
        </w:rPr>
      </w:pPr>
      <w:r>
        <w:rPr>
          <w:rFonts w:hint="eastAsia" w:ascii="宋体" w:hAnsi="宋体" w:eastAsia="宋体" w:cs="宋体"/>
          <w:szCs w:val="24"/>
          <w:highlight w:val="none"/>
        </w:rPr>
        <w:t>1.原辅料和包装材料的供应</w:t>
      </w:r>
      <w:r>
        <w:rPr>
          <w:rFonts w:hint="eastAsia" w:ascii="宋体" w:hAnsi="宋体" w:eastAsia="宋体" w:cs="宋体"/>
          <w:szCs w:val="24"/>
          <w:highlight w:val="none"/>
          <w:lang w:eastAsia="zh-CN"/>
        </w:rPr>
        <w:t>：</w:t>
      </w:r>
    </w:p>
    <w:p w14:paraId="36B946EC">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(1)</w:t>
      </w:r>
      <w:r>
        <w:rPr>
          <w:rFonts w:hint="eastAsia" w:ascii="宋体" w:hAnsi="宋体" w:eastAsia="宋体" w:cs="宋体"/>
          <w:szCs w:val="24"/>
          <w:highlight w:val="none"/>
        </w:rPr>
        <w:t>负责提供委托生产所需的原辅料和包装材料，确保可生产出委托生产订单上规定的订量。因提供生产所需的原辅料和包装材料所产生的金额由</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承担，采购人除支付加工费用以外，不再支付任何费用。</w:t>
      </w:r>
    </w:p>
    <w:p w14:paraId="0B34C03B">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(2)</w:t>
      </w:r>
      <w:r>
        <w:rPr>
          <w:rFonts w:hint="eastAsia" w:ascii="宋体" w:hAnsi="宋体" w:eastAsia="宋体" w:cs="宋体"/>
          <w:szCs w:val="24"/>
          <w:highlight w:val="none"/>
        </w:rPr>
        <w:t>提供符合要求的原辅料和包装材料，做好相关供应商管理和质量保证工作，按照法律法规要求建立和执行原辅料、包装材料收货、检验、留样、放行、储存等工作，并向采购人提供原辅料、包装材料的质量保证验收方案（如供应商采购审批方案，验收规范等）和验收报告。</w:t>
      </w:r>
    </w:p>
    <w:p w14:paraId="0F582E24">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2.生产的要求：</w:t>
      </w:r>
    </w:p>
    <w:p w14:paraId="61761DA6">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(1)</w:t>
      </w:r>
      <w:r>
        <w:rPr>
          <w:rFonts w:hint="eastAsia" w:ascii="宋体" w:hAnsi="宋体" w:eastAsia="宋体" w:cs="宋体"/>
          <w:szCs w:val="24"/>
          <w:highlight w:val="none"/>
        </w:rPr>
        <w:t>按照主管部门、法律法规的要求，依据采购人提供的处方、工艺、注册标准等进行规范的生产和检验，建立完善的质量保证和质量控制制度，并提供产品检验报告及其他相关记录，所有生产环节真实可追溯。</w:t>
      </w:r>
    </w:p>
    <w:p w14:paraId="3291BFA5">
      <w:pPr>
        <w:autoSpaceDE w:val="0"/>
        <w:autoSpaceDN w:val="0"/>
        <w:ind w:firstLine="480" w:firstLineChars="200"/>
        <w:rPr>
          <w:rFonts w:hint="eastAsia" w:ascii="宋体" w:hAnsi="宋体" w:eastAsia="宋体" w:cs="宋体"/>
          <w:sz w:val="24"/>
          <w:szCs w:val="24"/>
          <w:highlight w:val="none"/>
        </w:rPr>
      </w:pPr>
      <w:r>
        <w:rPr>
          <w:rFonts w:hint="eastAsia" w:ascii="宋体" w:hAnsi="宋体" w:eastAsia="宋体" w:cs="宋体"/>
          <w:szCs w:val="24"/>
          <w:highlight w:val="none"/>
          <w:lang w:val="en-US" w:eastAsia="zh-CN"/>
        </w:rPr>
        <w:t>(2)</w:t>
      </w:r>
      <w:r>
        <w:rPr>
          <w:rFonts w:hint="eastAsia" w:ascii="宋体" w:hAnsi="宋体" w:eastAsia="宋体" w:cs="宋体"/>
          <w:szCs w:val="24"/>
          <w:highlight w:val="none"/>
        </w:rPr>
        <w:t>提供每批次原辅料、包装材料、产品样品给采购人进行质量监管，样品量满足三倍全检量。</w:t>
      </w:r>
      <w:r>
        <w:rPr>
          <w:rFonts w:hint="eastAsia" w:ascii="宋体" w:hAnsi="宋体" w:eastAsia="宋体" w:cs="宋体"/>
          <w:sz w:val="24"/>
          <w:szCs w:val="24"/>
          <w:highlight w:val="none"/>
        </w:rPr>
        <w:t>留样药品数量与金额不计入此次委托配制服务合同中，具体样品留样详见下表</w:t>
      </w:r>
    </w:p>
    <w:p w14:paraId="10551E4F">
      <w:pPr>
        <w:spacing w:line="360" w:lineRule="auto"/>
        <w:jc w:val="center"/>
        <w:rPr>
          <w:rFonts w:hint="eastAsia" w:ascii="宋体" w:hAnsi="宋体" w:cs="宋体"/>
          <w:sz w:val="24"/>
        </w:rPr>
      </w:pPr>
      <w:r>
        <w:rPr>
          <w:rFonts w:hint="eastAsia" w:ascii="宋体" w:hAnsi="宋体" w:cs="宋体"/>
          <w:sz w:val="24"/>
        </w:rPr>
        <w:t>清咽喉合剂留样明细表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1"/>
        <w:gridCol w:w="2040"/>
        <w:gridCol w:w="3594"/>
      </w:tblGrid>
      <w:tr w14:paraId="5F47D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1" w:type="dxa"/>
            <w:noWrap w:val="0"/>
            <w:vAlign w:val="center"/>
          </w:tcPr>
          <w:p w14:paraId="4CA86F74">
            <w:pPr>
              <w:adjustRightInd/>
              <w:spacing w:line="360" w:lineRule="auto"/>
              <w:jc w:val="center"/>
              <w:textAlignment w:val="auto"/>
              <w:rPr>
                <w:rFonts w:hint="eastAsia" w:ascii="宋体" w:hAnsi="宋体" w:cs="宋体"/>
                <w:sz w:val="24"/>
              </w:rPr>
            </w:pPr>
            <w:r>
              <w:rPr>
                <w:rFonts w:hint="eastAsia" w:ascii="宋体" w:hAnsi="宋体" w:cs="宋体"/>
                <w:sz w:val="24"/>
              </w:rPr>
              <w:t>名称</w:t>
            </w:r>
          </w:p>
        </w:tc>
        <w:tc>
          <w:tcPr>
            <w:tcW w:w="2040" w:type="dxa"/>
            <w:noWrap w:val="0"/>
            <w:vAlign w:val="center"/>
          </w:tcPr>
          <w:p w14:paraId="75B10034">
            <w:pPr>
              <w:adjustRightInd/>
              <w:spacing w:line="360" w:lineRule="auto"/>
              <w:jc w:val="center"/>
              <w:textAlignment w:val="auto"/>
              <w:rPr>
                <w:rFonts w:hint="eastAsia" w:ascii="宋体" w:hAnsi="宋体" w:cs="宋体"/>
                <w:sz w:val="24"/>
              </w:rPr>
            </w:pPr>
            <w:r>
              <w:rPr>
                <w:rFonts w:hint="eastAsia" w:ascii="宋体" w:hAnsi="宋体" w:cs="宋体"/>
                <w:sz w:val="24"/>
              </w:rPr>
              <w:t>规格</w:t>
            </w:r>
          </w:p>
        </w:tc>
        <w:tc>
          <w:tcPr>
            <w:tcW w:w="3594" w:type="dxa"/>
            <w:noWrap w:val="0"/>
            <w:vAlign w:val="center"/>
          </w:tcPr>
          <w:p w14:paraId="71D7ECD9">
            <w:pPr>
              <w:adjustRightInd/>
              <w:spacing w:line="360" w:lineRule="auto"/>
              <w:jc w:val="center"/>
              <w:textAlignment w:val="auto"/>
              <w:rPr>
                <w:rFonts w:hint="eastAsia" w:ascii="宋体" w:hAnsi="宋体" w:cs="宋体"/>
                <w:sz w:val="24"/>
              </w:rPr>
            </w:pPr>
            <w:r>
              <w:rPr>
                <w:rFonts w:hint="eastAsia" w:ascii="宋体" w:hAnsi="宋体" w:cs="宋体"/>
                <w:sz w:val="24"/>
              </w:rPr>
              <w:t>留样情况</w:t>
            </w:r>
          </w:p>
        </w:tc>
      </w:tr>
      <w:tr w14:paraId="469DE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1" w:type="dxa"/>
            <w:noWrap w:val="0"/>
            <w:vAlign w:val="center"/>
          </w:tcPr>
          <w:p w14:paraId="55AB270B">
            <w:pPr>
              <w:adjustRightInd/>
              <w:spacing w:line="360" w:lineRule="auto"/>
              <w:jc w:val="center"/>
              <w:textAlignment w:val="auto"/>
              <w:rPr>
                <w:rFonts w:hint="eastAsia" w:ascii="宋体" w:hAnsi="宋体" w:cs="宋体"/>
                <w:sz w:val="24"/>
              </w:rPr>
            </w:pPr>
          </w:p>
        </w:tc>
        <w:tc>
          <w:tcPr>
            <w:tcW w:w="2040" w:type="dxa"/>
            <w:noWrap w:val="0"/>
            <w:vAlign w:val="center"/>
          </w:tcPr>
          <w:p w14:paraId="42DCD647">
            <w:pPr>
              <w:adjustRightInd/>
              <w:spacing w:line="360" w:lineRule="auto"/>
              <w:jc w:val="center"/>
              <w:textAlignment w:val="auto"/>
              <w:rPr>
                <w:rFonts w:hint="eastAsia" w:ascii="宋体" w:hAnsi="宋体" w:cs="宋体"/>
                <w:sz w:val="24"/>
              </w:rPr>
            </w:pPr>
          </w:p>
        </w:tc>
        <w:tc>
          <w:tcPr>
            <w:tcW w:w="3594" w:type="dxa"/>
            <w:noWrap w:val="0"/>
            <w:vAlign w:val="center"/>
          </w:tcPr>
          <w:p w14:paraId="3AF4CEB4">
            <w:pPr>
              <w:adjustRightInd/>
              <w:spacing w:line="360" w:lineRule="auto"/>
              <w:jc w:val="center"/>
              <w:textAlignment w:val="auto"/>
              <w:rPr>
                <w:rFonts w:hint="eastAsia" w:ascii="宋体" w:hAnsi="宋体" w:cs="宋体"/>
                <w:sz w:val="24"/>
              </w:rPr>
            </w:pPr>
          </w:p>
        </w:tc>
      </w:tr>
      <w:tr w14:paraId="4973B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5" w:type="dxa"/>
            <w:gridSpan w:val="3"/>
            <w:noWrap w:val="0"/>
            <w:vAlign w:val="center"/>
          </w:tcPr>
          <w:p w14:paraId="495F678B">
            <w:pPr>
              <w:adjustRightInd/>
              <w:spacing w:line="360" w:lineRule="auto"/>
              <w:jc w:val="center"/>
              <w:textAlignment w:val="auto"/>
              <w:rPr>
                <w:rFonts w:hint="eastAsia" w:ascii="宋体" w:hAnsi="宋体" w:cs="宋体"/>
                <w:sz w:val="24"/>
              </w:rPr>
            </w:pPr>
            <w:r>
              <w:rPr>
                <w:rFonts w:hint="eastAsia" w:ascii="宋体" w:hAnsi="宋体" w:cs="宋体"/>
                <w:sz w:val="24"/>
              </w:rPr>
              <w:t>留样参考依据：《中国药典》现行版第四部通则</w:t>
            </w:r>
          </w:p>
        </w:tc>
      </w:tr>
    </w:tbl>
    <w:p w14:paraId="47FEE8D5">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(3)</w:t>
      </w:r>
      <w:r>
        <w:rPr>
          <w:rFonts w:hint="eastAsia" w:ascii="宋体" w:hAnsi="宋体" w:eastAsia="宋体" w:cs="宋体"/>
          <w:szCs w:val="24"/>
          <w:highlight w:val="none"/>
        </w:rPr>
        <w:t>每年至少对一批次成品做长期稳定性考察。</w:t>
      </w:r>
    </w:p>
    <w:p w14:paraId="5DCDD9DC">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(4)采购人</w:t>
      </w:r>
      <w:r>
        <w:rPr>
          <w:rFonts w:hint="eastAsia" w:ascii="宋体" w:hAnsi="宋体" w:eastAsia="宋体" w:cs="宋体"/>
          <w:szCs w:val="24"/>
          <w:highlight w:val="none"/>
        </w:rPr>
        <w:t>负责原辅料、包装材料的审核放行：</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质量授权人负责产品成品的放行，放行时应进行质量评价，确保每批产品都已按照药品注册的要求完成生产和检验，保证药品的生产符合GMP要求，并确认符合以下各项要求：</w:t>
      </w:r>
    </w:p>
    <w:p w14:paraId="70969AC2">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1）</w:t>
      </w:r>
      <w:r>
        <w:rPr>
          <w:rFonts w:hint="eastAsia" w:ascii="宋体" w:hAnsi="宋体" w:eastAsia="宋体" w:cs="宋体"/>
          <w:szCs w:val="24"/>
          <w:highlight w:val="none"/>
        </w:rPr>
        <w:t>该批药品及其生产符合药品注册批准或规定的要求；</w:t>
      </w:r>
    </w:p>
    <w:p w14:paraId="17815C1F">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2）</w:t>
      </w:r>
      <w:r>
        <w:rPr>
          <w:rFonts w:hint="eastAsia" w:ascii="宋体" w:hAnsi="宋体" w:eastAsia="宋体" w:cs="宋体"/>
          <w:szCs w:val="24"/>
          <w:highlight w:val="none"/>
        </w:rPr>
        <w:t>生产和质量控制文件齐全；</w:t>
      </w:r>
    </w:p>
    <w:p w14:paraId="5D618504">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3）</w:t>
      </w:r>
      <w:r>
        <w:rPr>
          <w:rFonts w:hint="eastAsia" w:ascii="宋体" w:hAnsi="宋体" w:eastAsia="宋体" w:cs="宋体"/>
          <w:szCs w:val="24"/>
          <w:highlight w:val="none"/>
        </w:rPr>
        <w:t>按有关规定完成各类验证；</w:t>
      </w:r>
    </w:p>
    <w:p w14:paraId="26AE9832">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4）</w:t>
      </w:r>
      <w:r>
        <w:rPr>
          <w:rFonts w:hint="eastAsia" w:ascii="宋体" w:hAnsi="宋体" w:eastAsia="宋体" w:cs="宋体"/>
          <w:szCs w:val="24"/>
          <w:highlight w:val="none"/>
        </w:rPr>
        <w:t>按规定进行质量审计、自检或现场检查；</w:t>
      </w:r>
    </w:p>
    <w:p w14:paraId="76CAE899">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5）</w:t>
      </w:r>
      <w:r>
        <w:rPr>
          <w:rFonts w:hint="eastAsia" w:ascii="宋体" w:hAnsi="宋体" w:eastAsia="宋体" w:cs="宋体"/>
          <w:szCs w:val="24"/>
          <w:highlight w:val="none"/>
        </w:rPr>
        <w:t>所以必要的检查和检验均已进行，生产条件受控，有关生产记录完整；</w:t>
      </w:r>
    </w:p>
    <w:p w14:paraId="39F7974B">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6）</w:t>
      </w:r>
      <w:r>
        <w:rPr>
          <w:rFonts w:hint="eastAsia" w:ascii="宋体" w:hAnsi="宋体" w:eastAsia="宋体" w:cs="宋体"/>
          <w:szCs w:val="24"/>
          <w:highlight w:val="none"/>
        </w:rPr>
        <w:t>在产品放行之前，所有变更或偏差均按程序完成调查及处理；</w:t>
      </w:r>
    </w:p>
    <w:p w14:paraId="1EB5256D">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7）其他可能影响产品质量的因素均在受控范围内。</w:t>
      </w:r>
    </w:p>
    <w:p w14:paraId="715524C2">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3.仓库与运输的要求：</w:t>
      </w:r>
    </w:p>
    <w:p w14:paraId="6B768F32">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（1）具备委托配制所需的仓库，并按相关要求做好仓储管理，如包材库、原料库、成品库需满足相应物品的储存要求、温湿度要求及消防要求等。</w:t>
      </w:r>
    </w:p>
    <w:p w14:paraId="513B495F">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（2）</w:t>
      </w:r>
      <w:r>
        <w:rPr>
          <w:rFonts w:hint="eastAsia" w:ascii="宋体" w:hAnsi="宋体" w:eastAsia="宋体" w:cs="宋体"/>
          <w:szCs w:val="24"/>
          <w:highlight w:val="none"/>
        </w:rPr>
        <w:t>具备专业的运输人员与设备，保证委托配制药品运输过程符合药品质量要求。</w:t>
      </w:r>
    </w:p>
    <w:p w14:paraId="39C1AC7F">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（3）</w:t>
      </w:r>
      <w:r>
        <w:rPr>
          <w:rFonts w:hint="eastAsia" w:ascii="宋体" w:hAnsi="宋体" w:eastAsia="宋体" w:cs="宋体"/>
          <w:szCs w:val="24"/>
          <w:highlight w:val="none"/>
        </w:rPr>
        <w:t>生产完成后，</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负责将成品送到</w:t>
      </w:r>
      <w:r>
        <w:rPr>
          <w:rFonts w:hint="eastAsia" w:ascii="宋体" w:hAnsi="宋体" w:eastAsia="宋体" w:cs="宋体"/>
          <w:szCs w:val="24"/>
          <w:highlight w:val="none"/>
          <w:lang w:val="en-US" w:eastAsia="zh-CN"/>
        </w:rPr>
        <w:t>采购人</w:t>
      </w:r>
      <w:r>
        <w:rPr>
          <w:rFonts w:hint="eastAsia" w:ascii="宋体" w:hAnsi="宋体" w:eastAsia="宋体" w:cs="宋体"/>
          <w:szCs w:val="24"/>
          <w:highlight w:val="none"/>
        </w:rPr>
        <w:t>指定的仓库，</w:t>
      </w:r>
      <w:r>
        <w:rPr>
          <w:rFonts w:hint="eastAsia" w:ascii="宋体" w:hAnsi="宋体" w:eastAsia="宋体" w:cs="宋体"/>
          <w:szCs w:val="24"/>
          <w:highlight w:val="none"/>
          <w:lang w:val="en-US" w:eastAsia="zh-CN"/>
        </w:rPr>
        <w:t>采购人</w:t>
      </w:r>
      <w:r>
        <w:rPr>
          <w:rFonts w:hint="eastAsia" w:ascii="宋体" w:hAnsi="宋体" w:eastAsia="宋体" w:cs="宋体"/>
          <w:szCs w:val="24"/>
          <w:highlight w:val="none"/>
        </w:rPr>
        <w:t>负责按规定储藏条件进行保管，运输费及运输安全责任由</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承担。</w:t>
      </w:r>
    </w:p>
    <w:p w14:paraId="5A6C4425">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4.</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须为本项目配置完善的生产设备与检测设备，具体参考生产设备清单如下（投标时提供承诺函）：</w:t>
      </w:r>
    </w:p>
    <w:p w14:paraId="179C8166">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清咽喉合剂生产设备清单</w:t>
      </w:r>
    </w:p>
    <w:p w14:paraId="30C97149">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（1）清咽喉合剂</w:t>
      </w:r>
    </w:p>
    <w:tbl>
      <w:tblPr>
        <w:tblStyle w:val="4"/>
        <w:tblW w:w="9115" w:type="dxa"/>
        <w:tblInd w:w="9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9"/>
        <w:gridCol w:w="1633"/>
        <w:gridCol w:w="2100"/>
        <w:gridCol w:w="4683"/>
      </w:tblGrid>
      <w:tr w14:paraId="3A8438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115" w:type="dxa"/>
            <w:gridSpan w:val="4"/>
            <w:tcBorders>
              <w:bottom w:val="nil"/>
            </w:tcBorders>
            <w:shd w:val="clear" w:color="auto" w:fill="auto"/>
            <w:noWrap/>
            <w:vAlign w:val="center"/>
          </w:tcPr>
          <w:p w14:paraId="3DE3F85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清咽喉合剂委托配制服务设备清单</w:t>
            </w:r>
          </w:p>
        </w:tc>
      </w:tr>
      <w:tr w14:paraId="4ED45EA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99" w:type="dxa"/>
            <w:tcBorders>
              <w:top w:val="single" w:color="000000" w:sz="4" w:space="0"/>
              <w:bottom w:val="single" w:color="000000" w:sz="4" w:space="0"/>
              <w:right w:val="single" w:color="000000" w:sz="4" w:space="0"/>
            </w:tcBorders>
            <w:shd w:val="clear" w:color="auto" w:fill="auto"/>
            <w:noWrap/>
            <w:vAlign w:val="center"/>
          </w:tcPr>
          <w:p w14:paraId="6D1B559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1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C960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环节</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B32C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设备</w:t>
            </w:r>
          </w:p>
        </w:tc>
        <w:tc>
          <w:tcPr>
            <w:tcW w:w="4406" w:type="dxa"/>
            <w:tcBorders>
              <w:top w:val="single" w:color="000000" w:sz="4" w:space="0"/>
              <w:left w:val="single" w:color="000000" w:sz="4" w:space="0"/>
              <w:bottom w:val="single" w:color="000000" w:sz="4" w:space="0"/>
            </w:tcBorders>
            <w:shd w:val="clear" w:color="auto" w:fill="auto"/>
            <w:noWrap/>
            <w:vAlign w:val="center"/>
          </w:tcPr>
          <w:p w14:paraId="3EE750B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设备需求</w:t>
            </w:r>
          </w:p>
        </w:tc>
      </w:tr>
      <w:tr w14:paraId="43DADA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99" w:type="dxa"/>
            <w:vMerge w:val="restart"/>
            <w:tcBorders>
              <w:top w:val="single" w:color="000000" w:sz="4" w:space="0"/>
              <w:bottom w:val="single" w:color="000000" w:sz="4" w:space="0"/>
              <w:right w:val="single" w:color="000000" w:sz="4" w:space="0"/>
            </w:tcBorders>
            <w:shd w:val="clear" w:color="auto" w:fill="auto"/>
            <w:noWrap/>
            <w:vAlign w:val="center"/>
          </w:tcPr>
          <w:p w14:paraId="63EB69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生产</w:t>
            </w:r>
          </w:p>
        </w:tc>
        <w:tc>
          <w:tcPr>
            <w:tcW w:w="1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F34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中药提取浓缩</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5C2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中药提取浓缩设备</w:t>
            </w:r>
          </w:p>
        </w:tc>
        <w:tc>
          <w:tcPr>
            <w:tcW w:w="4406" w:type="dxa"/>
            <w:tcBorders>
              <w:top w:val="single" w:color="000000" w:sz="4" w:space="0"/>
              <w:left w:val="single" w:color="000000" w:sz="4" w:space="0"/>
              <w:bottom w:val="single" w:color="000000" w:sz="4" w:space="0"/>
            </w:tcBorders>
            <w:shd w:val="clear" w:color="auto" w:fill="auto"/>
            <w:noWrap/>
            <w:vAlign w:val="center"/>
          </w:tcPr>
          <w:p w14:paraId="5DAC42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≥2吨提取浓缩量</w:t>
            </w:r>
          </w:p>
        </w:tc>
      </w:tr>
      <w:tr w14:paraId="785518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99" w:type="dxa"/>
            <w:vMerge w:val="continue"/>
            <w:tcBorders>
              <w:top w:val="single" w:color="000000" w:sz="4" w:space="0"/>
              <w:bottom w:val="single" w:color="000000" w:sz="4" w:space="0"/>
              <w:right w:val="single" w:color="000000" w:sz="4" w:space="0"/>
            </w:tcBorders>
            <w:shd w:val="clear" w:color="auto" w:fill="auto"/>
            <w:noWrap/>
            <w:vAlign w:val="center"/>
          </w:tcPr>
          <w:p w14:paraId="37FED831">
            <w:pPr>
              <w:jc w:val="center"/>
              <w:rPr>
                <w:rFonts w:hint="eastAsia" w:ascii="宋体" w:hAnsi="宋体" w:eastAsia="宋体" w:cs="宋体"/>
                <w:i w:val="0"/>
                <w:iCs w:val="0"/>
                <w:color w:val="000000"/>
                <w:sz w:val="22"/>
                <w:szCs w:val="22"/>
                <w:u w:val="none"/>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2E4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静置</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1A5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中药沉淀罐</w:t>
            </w:r>
          </w:p>
        </w:tc>
        <w:tc>
          <w:tcPr>
            <w:tcW w:w="4406" w:type="dxa"/>
            <w:tcBorders>
              <w:top w:val="single" w:color="000000" w:sz="4" w:space="0"/>
              <w:left w:val="single" w:color="000000" w:sz="4" w:space="0"/>
              <w:bottom w:val="single" w:color="000000" w:sz="4" w:space="0"/>
            </w:tcBorders>
            <w:shd w:val="clear" w:color="auto" w:fill="auto"/>
            <w:noWrap/>
            <w:vAlign w:val="center"/>
          </w:tcPr>
          <w:p w14:paraId="2F7168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≥2吨沉淀容积</w:t>
            </w:r>
          </w:p>
        </w:tc>
      </w:tr>
      <w:tr w14:paraId="523032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99" w:type="dxa"/>
            <w:vMerge w:val="continue"/>
            <w:tcBorders>
              <w:top w:val="single" w:color="000000" w:sz="4" w:space="0"/>
              <w:bottom w:val="single" w:color="000000" w:sz="4" w:space="0"/>
              <w:right w:val="single" w:color="000000" w:sz="4" w:space="0"/>
            </w:tcBorders>
            <w:shd w:val="clear" w:color="auto" w:fill="auto"/>
            <w:noWrap/>
            <w:vAlign w:val="center"/>
          </w:tcPr>
          <w:p w14:paraId="587F1D37">
            <w:pPr>
              <w:jc w:val="center"/>
              <w:rPr>
                <w:rFonts w:hint="eastAsia" w:ascii="宋体" w:hAnsi="宋体" w:eastAsia="宋体" w:cs="宋体"/>
                <w:i w:val="0"/>
                <w:iCs w:val="0"/>
                <w:color w:val="000000"/>
                <w:sz w:val="22"/>
                <w:szCs w:val="22"/>
                <w:u w:val="none"/>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663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配制</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AF2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配制罐</w:t>
            </w:r>
          </w:p>
        </w:tc>
        <w:tc>
          <w:tcPr>
            <w:tcW w:w="4406" w:type="dxa"/>
            <w:tcBorders>
              <w:top w:val="single" w:color="000000" w:sz="4" w:space="0"/>
              <w:left w:val="single" w:color="000000" w:sz="4" w:space="0"/>
              <w:bottom w:val="single" w:color="000000" w:sz="4" w:space="0"/>
            </w:tcBorders>
            <w:shd w:val="clear" w:color="auto" w:fill="auto"/>
            <w:noWrap/>
            <w:vAlign w:val="center"/>
          </w:tcPr>
          <w:p w14:paraId="094721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≥2吨配制容积</w:t>
            </w:r>
          </w:p>
        </w:tc>
      </w:tr>
      <w:tr w14:paraId="29DFC6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99" w:type="dxa"/>
            <w:vMerge w:val="continue"/>
            <w:tcBorders>
              <w:top w:val="single" w:color="000000" w:sz="4" w:space="0"/>
              <w:bottom w:val="single" w:color="000000" w:sz="4" w:space="0"/>
              <w:right w:val="single" w:color="000000" w:sz="4" w:space="0"/>
            </w:tcBorders>
            <w:shd w:val="clear" w:color="auto" w:fill="auto"/>
            <w:noWrap/>
            <w:vAlign w:val="center"/>
          </w:tcPr>
          <w:p w14:paraId="644CEB96">
            <w:pPr>
              <w:jc w:val="center"/>
              <w:rPr>
                <w:rFonts w:hint="eastAsia" w:ascii="宋体" w:hAnsi="宋体" w:eastAsia="宋体" w:cs="宋体"/>
                <w:i w:val="0"/>
                <w:iCs w:val="0"/>
                <w:color w:val="000000"/>
                <w:sz w:val="22"/>
                <w:szCs w:val="22"/>
                <w:u w:val="none"/>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E41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灌装贴签</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13F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合剂灌装线</w:t>
            </w:r>
          </w:p>
        </w:tc>
        <w:tc>
          <w:tcPr>
            <w:tcW w:w="4406" w:type="dxa"/>
            <w:tcBorders>
              <w:top w:val="single" w:color="000000" w:sz="4" w:space="0"/>
              <w:left w:val="single" w:color="000000" w:sz="4" w:space="0"/>
              <w:bottom w:val="single" w:color="000000" w:sz="4" w:space="0"/>
            </w:tcBorders>
            <w:shd w:val="clear" w:color="auto" w:fill="auto"/>
            <w:vAlign w:val="center"/>
          </w:tcPr>
          <w:p w14:paraId="1C7C45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1.满足100ml圆瓶、30ml灌装、贴签需求；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2.灌装速度≥1万瓶/天</w:t>
            </w:r>
          </w:p>
        </w:tc>
      </w:tr>
      <w:tr w14:paraId="610335C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99" w:type="dxa"/>
            <w:vMerge w:val="restart"/>
            <w:tcBorders>
              <w:top w:val="single" w:color="000000" w:sz="4" w:space="0"/>
              <w:bottom w:val="single" w:color="000000" w:sz="4" w:space="0"/>
              <w:right w:val="single" w:color="000000" w:sz="4" w:space="0"/>
            </w:tcBorders>
            <w:shd w:val="clear" w:color="auto" w:fill="auto"/>
            <w:noWrap/>
            <w:vAlign w:val="center"/>
          </w:tcPr>
          <w:p w14:paraId="2F461D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检测</w:t>
            </w:r>
          </w:p>
        </w:tc>
        <w:tc>
          <w:tcPr>
            <w:tcW w:w="1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C00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薄层色谱鉴别</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8CE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中药薄层成像系统</w:t>
            </w:r>
          </w:p>
        </w:tc>
        <w:tc>
          <w:tcPr>
            <w:tcW w:w="4406" w:type="dxa"/>
            <w:tcBorders>
              <w:top w:val="single" w:color="000000" w:sz="4" w:space="0"/>
              <w:left w:val="single" w:color="000000" w:sz="4" w:space="0"/>
              <w:bottom w:val="single" w:color="000000" w:sz="4" w:space="0"/>
            </w:tcBorders>
            <w:shd w:val="clear" w:color="auto" w:fill="auto"/>
            <w:vAlign w:val="center"/>
          </w:tcPr>
          <w:p w14:paraId="039AC2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按《广东省医疗机构制剂规范》（第四册）清咽喉合剂【鉴别】项检查</w:t>
            </w:r>
          </w:p>
        </w:tc>
      </w:tr>
      <w:tr w14:paraId="7DAE32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699" w:type="dxa"/>
            <w:vMerge w:val="continue"/>
            <w:tcBorders>
              <w:top w:val="single" w:color="000000" w:sz="4" w:space="0"/>
              <w:bottom w:val="single" w:color="000000" w:sz="4" w:space="0"/>
              <w:right w:val="single" w:color="000000" w:sz="4" w:space="0"/>
            </w:tcBorders>
            <w:shd w:val="clear" w:color="auto" w:fill="auto"/>
            <w:noWrap/>
            <w:vAlign w:val="center"/>
          </w:tcPr>
          <w:p w14:paraId="4815CDF7">
            <w:pPr>
              <w:jc w:val="center"/>
              <w:rPr>
                <w:rFonts w:hint="eastAsia" w:ascii="宋体" w:hAnsi="宋体" w:eastAsia="宋体" w:cs="宋体"/>
                <w:i w:val="0"/>
                <w:iCs w:val="0"/>
                <w:color w:val="000000"/>
                <w:sz w:val="22"/>
                <w:szCs w:val="22"/>
                <w:u w:val="none"/>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CC5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相对密度</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62E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电子天平、比重瓶</w:t>
            </w:r>
          </w:p>
        </w:tc>
        <w:tc>
          <w:tcPr>
            <w:tcW w:w="4406" w:type="dxa"/>
            <w:tcBorders>
              <w:top w:val="single" w:color="000000" w:sz="4" w:space="0"/>
              <w:left w:val="single" w:color="000000" w:sz="4" w:space="0"/>
              <w:bottom w:val="single" w:color="000000" w:sz="4" w:space="0"/>
            </w:tcBorders>
            <w:shd w:val="clear" w:color="auto" w:fill="auto"/>
            <w:noWrap/>
            <w:vAlign w:val="center"/>
          </w:tcPr>
          <w:p w14:paraId="7781CC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按《中国药典》通则0601相对密度测定法比重瓶法</w:t>
            </w:r>
          </w:p>
        </w:tc>
      </w:tr>
      <w:tr w14:paraId="4ECC85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99" w:type="dxa"/>
            <w:vMerge w:val="continue"/>
            <w:tcBorders>
              <w:top w:val="single" w:color="000000" w:sz="4" w:space="0"/>
              <w:bottom w:val="single" w:color="000000" w:sz="4" w:space="0"/>
              <w:right w:val="single" w:color="000000" w:sz="4" w:space="0"/>
            </w:tcBorders>
            <w:shd w:val="clear" w:color="auto" w:fill="auto"/>
            <w:noWrap/>
            <w:vAlign w:val="center"/>
          </w:tcPr>
          <w:p w14:paraId="5A42A1C3">
            <w:pPr>
              <w:jc w:val="center"/>
              <w:rPr>
                <w:rFonts w:hint="eastAsia" w:ascii="宋体" w:hAnsi="宋体" w:eastAsia="宋体" w:cs="宋体"/>
                <w:i w:val="0"/>
                <w:iCs w:val="0"/>
                <w:color w:val="000000"/>
                <w:sz w:val="22"/>
                <w:szCs w:val="22"/>
                <w:u w:val="none"/>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B5F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pH值</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157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pH酸度计</w:t>
            </w:r>
          </w:p>
        </w:tc>
        <w:tc>
          <w:tcPr>
            <w:tcW w:w="4406" w:type="dxa"/>
            <w:tcBorders>
              <w:top w:val="single" w:color="000000" w:sz="4" w:space="0"/>
              <w:left w:val="single" w:color="000000" w:sz="4" w:space="0"/>
              <w:bottom w:val="single" w:color="000000" w:sz="4" w:space="0"/>
            </w:tcBorders>
            <w:shd w:val="clear" w:color="auto" w:fill="auto"/>
            <w:noWrap/>
            <w:vAlign w:val="center"/>
          </w:tcPr>
          <w:p w14:paraId="2A392A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按《中国药典》通则0631 pH值测定法</w:t>
            </w:r>
          </w:p>
        </w:tc>
      </w:tr>
      <w:tr w14:paraId="65A4860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699" w:type="dxa"/>
            <w:vMerge w:val="continue"/>
            <w:tcBorders>
              <w:top w:val="single" w:color="000000" w:sz="4" w:space="0"/>
              <w:bottom w:val="single" w:color="000000" w:sz="4" w:space="0"/>
              <w:right w:val="single" w:color="000000" w:sz="4" w:space="0"/>
            </w:tcBorders>
            <w:shd w:val="clear" w:color="auto" w:fill="auto"/>
            <w:noWrap/>
            <w:vAlign w:val="center"/>
          </w:tcPr>
          <w:p w14:paraId="36B52B3B">
            <w:pPr>
              <w:jc w:val="center"/>
              <w:rPr>
                <w:rFonts w:hint="eastAsia" w:ascii="宋体" w:hAnsi="宋体" w:eastAsia="宋体" w:cs="宋体"/>
                <w:i w:val="0"/>
                <w:iCs w:val="0"/>
                <w:color w:val="000000"/>
                <w:sz w:val="22"/>
                <w:szCs w:val="22"/>
                <w:u w:val="none"/>
              </w:rPr>
            </w:pPr>
          </w:p>
        </w:tc>
        <w:tc>
          <w:tcPr>
            <w:tcW w:w="1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246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微生物检测</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719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洁净台、培养箱等</w:t>
            </w:r>
          </w:p>
        </w:tc>
        <w:tc>
          <w:tcPr>
            <w:tcW w:w="4406" w:type="dxa"/>
            <w:tcBorders>
              <w:top w:val="single" w:color="000000" w:sz="4" w:space="0"/>
              <w:left w:val="single" w:color="000000" w:sz="4" w:space="0"/>
              <w:bottom w:val="single" w:color="000000" w:sz="4" w:space="0"/>
            </w:tcBorders>
            <w:shd w:val="clear" w:color="auto" w:fill="auto"/>
            <w:noWrap/>
            <w:vAlign w:val="center"/>
          </w:tcPr>
          <w:p w14:paraId="4CFE17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按《中国药典》通则0181合剂【微生物限度】要求</w:t>
            </w:r>
          </w:p>
        </w:tc>
      </w:tr>
      <w:tr w14:paraId="528989D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699" w:type="dxa"/>
            <w:vMerge w:val="continue"/>
            <w:tcBorders>
              <w:top w:val="single" w:color="000000" w:sz="4" w:space="0"/>
              <w:right w:val="single" w:color="000000" w:sz="4" w:space="0"/>
            </w:tcBorders>
            <w:shd w:val="clear" w:color="auto" w:fill="auto"/>
            <w:noWrap/>
            <w:vAlign w:val="center"/>
          </w:tcPr>
          <w:p w14:paraId="24B73331">
            <w:pPr>
              <w:jc w:val="center"/>
              <w:rPr>
                <w:rFonts w:hint="eastAsia" w:ascii="宋体" w:hAnsi="宋体" w:eastAsia="宋体" w:cs="宋体"/>
                <w:i w:val="0"/>
                <w:iCs w:val="0"/>
                <w:color w:val="000000"/>
                <w:sz w:val="22"/>
                <w:szCs w:val="22"/>
                <w:u w:val="none"/>
              </w:rPr>
            </w:pPr>
          </w:p>
        </w:tc>
        <w:tc>
          <w:tcPr>
            <w:tcW w:w="1633" w:type="dxa"/>
            <w:tcBorders>
              <w:top w:val="single" w:color="000000" w:sz="4" w:space="0"/>
              <w:left w:val="single" w:color="000000" w:sz="4" w:space="0"/>
              <w:right w:val="single" w:color="000000" w:sz="4" w:space="0"/>
            </w:tcBorders>
            <w:shd w:val="clear" w:color="auto" w:fill="auto"/>
            <w:noWrap/>
            <w:vAlign w:val="center"/>
          </w:tcPr>
          <w:p w14:paraId="7F9FBD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装量检测</w:t>
            </w:r>
          </w:p>
        </w:tc>
        <w:tc>
          <w:tcPr>
            <w:tcW w:w="2100" w:type="dxa"/>
            <w:tcBorders>
              <w:top w:val="single" w:color="000000" w:sz="4" w:space="0"/>
              <w:left w:val="single" w:color="000000" w:sz="4" w:space="0"/>
              <w:right w:val="single" w:color="000000" w:sz="4" w:space="0"/>
            </w:tcBorders>
            <w:shd w:val="clear" w:color="auto" w:fill="auto"/>
            <w:noWrap/>
            <w:vAlign w:val="center"/>
          </w:tcPr>
          <w:p w14:paraId="627AC1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量筒</w:t>
            </w:r>
          </w:p>
        </w:tc>
        <w:tc>
          <w:tcPr>
            <w:tcW w:w="4406" w:type="dxa"/>
            <w:tcBorders>
              <w:top w:val="single" w:color="000000" w:sz="4" w:space="0"/>
              <w:left w:val="single" w:color="000000" w:sz="4" w:space="0"/>
            </w:tcBorders>
            <w:shd w:val="clear" w:color="auto" w:fill="auto"/>
            <w:noWrap/>
            <w:vAlign w:val="center"/>
          </w:tcPr>
          <w:p w14:paraId="39AC79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按《中国药典》通则0942 最低装量检查法</w:t>
            </w:r>
          </w:p>
        </w:tc>
      </w:tr>
    </w:tbl>
    <w:p w14:paraId="491D1937">
      <w:pPr>
        <w:autoSpaceDE w:val="0"/>
        <w:autoSpaceDN w:val="0"/>
        <w:ind w:firstLine="480" w:firstLineChars="200"/>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备注：</w:t>
      </w:r>
      <w:r>
        <w:rPr>
          <w:rFonts w:hint="eastAsia" w:ascii="宋体" w:hAnsi="宋体" w:cs="宋体"/>
          <w:szCs w:val="24"/>
          <w:highlight w:val="none"/>
          <w:lang w:val="en-US" w:eastAsia="zh-CN"/>
        </w:rPr>
        <w:t>①</w:t>
      </w:r>
      <w:r>
        <w:rPr>
          <w:rFonts w:hint="eastAsia" w:ascii="宋体" w:hAnsi="宋体" w:eastAsia="宋体" w:cs="宋体"/>
          <w:sz w:val="24"/>
          <w:szCs w:val="24"/>
          <w:highlight w:val="none"/>
        </w:rPr>
        <w:t>如设备名称不一样，但是可以满足相应用途要求的，视为符合要求。</w:t>
      </w:r>
    </w:p>
    <w:p w14:paraId="278A42BF">
      <w:pPr>
        <w:autoSpaceDE w:val="0"/>
        <w:autoSpaceDN w:val="0"/>
        <w:ind w:firstLine="480" w:firstLineChars="200"/>
        <w:rPr>
          <w:rFonts w:hint="eastAsia" w:ascii="宋体" w:hAnsi="宋体" w:eastAsia="宋体" w:cs="宋体"/>
          <w:szCs w:val="24"/>
          <w:highlight w:val="none"/>
        </w:rPr>
      </w:pPr>
      <w:r>
        <w:rPr>
          <w:rFonts w:hint="eastAsia" w:ascii="宋体" w:hAnsi="宋体" w:cs="宋体"/>
          <w:szCs w:val="24"/>
          <w:highlight w:val="none"/>
          <w:lang w:val="en-US" w:eastAsia="zh-CN"/>
        </w:rPr>
        <w:t>②</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需在投标时承诺，如获中标，须在签订合同前按照上述要求配置具备相应用途的生产和检测设备，并接受采购人对上述设备的核查。如发现</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未按照承诺配置相关生产和检测设备，将视为虚假响应，采购人有权取消其中标资格，没收投标保证金并报告采购监督管理部门予以处罚。</w:t>
      </w:r>
    </w:p>
    <w:p w14:paraId="0D309CA5">
      <w:pPr>
        <w:shd w:val="clear"/>
        <w:autoSpaceDE w:val="0"/>
        <w:autoSpaceDN w:val="0"/>
        <w:ind w:firstLine="480" w:firstLineChars="200"/>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5.供应商须承诺：如在签订合同之日时仍不具备相关主管部门颁发的药梅、片剂生产批准证明文件的,承诺将在30个工作日内取得相关部门颁发的药梅、片剂生产批准；如在签订合同之日起30个工作日后仍未取得相关部门颁发的药梅、片剂生产批准，每拖延一天，供应商须向采购人支付合同金额的1‰的违约金，且采购人有权视其违约，并经相关行政主管部门同意后，有权解除合同。</w:t>
      </w:r>
    </w:p>
    <w:p w14:paraId="2D891CA6">
      <w:pPr>
        <w:shd w:val="clea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6</w:t>
      </w:r>
      <w:r>
        <w:rPr>
          <w:rFonts w:hint="eastAsia" w:ascii="宋体" w:hAnsi="宋体" w:eastAsia="宋体" w:cs="宋体"/>
          <w:szCs w:val="24"/>
          <w:highlight w:val="none"/>
        </w:rPr>
        <w:t>. 投标人药梅加工能力需满足</w:t>
      </w:r>
      <w:r>
        <w:rPr>
          <w:rFonts w:hint="eastAsia" w:ascii="宋体" w:hAnsi="宋体" w:eastAsia="宋体" w:cs="宋体"/>
          <w:szCs w:val="24"/>
          <w:highlight w:val="none"/>
          <w:lang w:val="en-US" w:eastAsia="zh-CN"/>
        </w:rPr>
        <w:t>10</w:t>
      </w:r>
      <w:r>
        <w:rPr>
          <w:rFonts w:hint="eastAsia" w:ascii="宋体" w:hAnsi="宋体" w:eastAsia="宋体" w:cs="宋体"/>
          <w:szCs w:val="24"/>
          <w:highlight w:val="none"/>
        </w:rPr>
        <w:t>000袋/月，片剂加工能力需满足5000盒/月。</w:t>
      </w:r>
    </w:p>
    <w:p w14:paraId="4ABD8BB1">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7</w:t>
      </w:r>
      <w:r>
        <w:rPr>
          <w:rFonts w:hint="eastAsia" w:ascii="宋体" w:hAnsi="宋体" w:eastAsia="宋体" w:cs="宋体"/>
          <w:szCs w:val="24"/>
          <w:highlight w:val="none"/>
        </w:rPr>
        <w:t>.项目发出《中标通知书》后，采购人到广东省药品监督管理局备案申请委托加工批件，并取得相应的《医疗机构中药制剂委托配制批件》。此过程中，</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需积极配合采购人提供相关申报所需的资料。具体要求如下：（</w:t>
      </w:r>
      <w:r>
        <w:rPr>
          <w:rFonts w:hint="eastAsia" w:ascii="宋体" w:hAnsi="宋体" w:eastAsia="宋体" w:cs="宋体"/>
          <w:szCs w:val="24"/>
          <w:highlight w:val="none"/>
          <w:lang w:val="en-US" w:eastAsia="zh-CN"/>
        </w:rPr>
        <w:t>投标文件提供承诺函，格式自拟</w:t>
      </w:r>
      <w:r>
        <w:rPr>
          <w:rFonts w:hint="eastAsia" w:ascii="宋体" w:hAnsi="宋体" w:eastAsia="宋体" w:cs="宋体"/>
          <w:szCs w:val="24"/>
          <w:highlight w:val="none"/>
        </w:rPr>
        <w:t>）</w:t>
      </w:r>
    </w:p>
    <w:p w14:paraId="765B19BD">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（1）委托配制批件是采购人进行申请的，</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（受托方）配合提供资料；</w:t>
      </w:r>
    </w:p>
    <w:p w14:paraId="5408EA05">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（2）如</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（受托方）《药品生产许可证》或《医疗机构制剂许可证》的范围不具备清咽喉合剂剂型，必需立即向广东省药品监督管理局申请清咽喉合剂剂型的生产范围，并在30个工作日内取得相关部门的生产批复。</w:t>
      </w:r>
    </w:p>
    <w:p w14:paraId="26E2D8D9">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8</w:t>
      </w:r>
      <w:r>
        <w:rPr>
          <w:rFonts w:hint="eastAsia" w:ascii="宋体" w:hAnsi="宋体" w:eastAsia="宋体" w:cs="宋体"/>
          <w:szCs w:val="24"/>
          <w:highlight w:val="none"/>
        </w:rPr>
        <w:t>.如果</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存在以下情形的，采购人可根据合同情况视其违约，并有权解除本合同。</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须承担所有责任，并赔偿采购人的损失：（</w:t>
      </w:r>
      <w:r>
        <w:rPr>
          <w:rFonts w:hint="eastAsia" w:ascii="宋体" w:hAnsi="宋体" w:eastAsia="宋体" w:cs="宋体"/>
          <w:szCs w:val="24"/>
          <w:highlight w:val="none"/>
          <w:lang w:val="en-US" w:eastAsia="zh-CN"/>
        </w:rPr>
        <w:t>投标文件提供承诺函，格式自拟</w:t>
      </w:r>
      <w:r>
        <w:rPr>
          <w:rFonts w:hint="eastAsia" w:ascii="宋体" w:hAnsi="宋体" w:eastAsia="宋体" w:cs="宋体"/>
          <w:szCs w:val="24"/>
          <w:highlight w:val="none"/>
        </w:rPr>
        <w:t>）</w:t>
      </w:r>
    </w:p>
    <w:p w14:paraId="7E5241AC">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（1）如果出现疑似制剂质量问题(含因质量问题导致出现不良反应、患者投诉等情形），可选择采购人所在地药检部门对相应批次制剂进行质量检验。如果确实存在质量问题，则</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除了承担检验费用之外，还需承担由此产生药政管理或医疗事故、纠纷等方面的一切直接及连带责任。</w:t>
      </w:r>
    </w:p>
    <w:p w14:paraId="4439FC8F">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（2）对采购人提供的涉及清咽喉合剂的一切技术资料保密，不得传于第三者。因</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原因造成采购人的技术资料泄露导致采购人经济损失。</w:t>
      </w:r>
    </w:p>
    <w:p w14:paraId="48B9211F">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（3）</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未经采购人允许，</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私自生产销售采购人委托加工的产品，或者私自变相销售</w:t>
      </w:r>
      <w:r>
        <w:rPr>
          <w:rFonts w:hint="eastAsia" w:ascii="宋体" w:hAnsi="宋体" w:eastAsia="宋体" w:cs="宋体"/>
          <w:szCs w:val="24"/>
          <w:highlight w:val="none"/>
          <w:lang w:val="en-US" w:eastAsia="zh-CN"/>
        </w:rPr>
        <w:t>清咽喉合剂</w:t>
      </w:r>
      <w:r>
        <w:rPr>
          <w:rFonts w:hint="eastAsia" w:ascii="宋体" w:hAnsi="宋体" w:eastAsia="宋体" w:cs="宋体"/>
          <w:szCs w:val="24"/>
          <w:highlight w:val="none"/>
        </w:rPr>
        <w:t>，对采购人造成不良影响的。</w:t>
      </w:r>
    </w:p>
    <w:p w14:paraId="133FA06A">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（4）在委托生产期间，药监部门对</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进行现场检查，发现有违规生产等行为。</w:t>
      </w:r>
    </w:p>
    <w:p w14:paraId="07DFA8D5">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（5）药监部门对所委托生产的品种抽检，检验结果不合格。</w:t>
      </w:r>
    </w:p>
    <w:p w14:paraId="618E9027">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9</w:t>
      </w:r>
      <w:r>
        <w:rPr>
          <w:rFonts w:hint="eastAsia" w:ascii="宋体" w:hAnsi="宋体" w:eastAsia="宋体" w:cs="宋体"/>
          <w:szCs w:val="24"/>
          <w:highlight w:val="none"/>
        </w:rPr>
        <w:t>.质量管理要求：（</w:t>
      </w:r>
      <w:r>
        <w:rPr>
          <w:rFonts w:hint="eastAsia" w:ascii="宋体" w:hAnsi="宋体" w:eastAsia="宋体" w:cs="宋体"/>
          <w:szCs w:val="24"/>
          <w:highlight w:val="none"/>
          <w:lang w:val="en-US" w:eastAsia="zh-CN"/>
        </w:rPr>
        <w:t>投标文件提供承诺函，格式自拟</w:t>
      </w:r>
      <w:r>
        <w:rPr>
          <w:rFonts w:hint="eastAsia" w:ascii="宋体" w:hAnsi="宋体" w:eastAsia="宋体" w:cs="宋体"/>
          <w:szCs w:val="24"/>
          <w:highlight w:val="none"/>
        </w:rPr>
        <w:t>）</w:t>
      </w:r>
    </w:p>
    <w:p w14:paraId="6211E5F0">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（1）符合《药品生产质量管理规范》（GMP）或《医疗机构制剂配制质量管理规范》（GPP）要求。</w:t>
      </w:r>
    </w:p>
    <w:p w14:paraId="4E5E673B">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（2）</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对整个生产和运输过程的质量负全部责任。</w:t>
      </w:r>
    </w:p>
    <w:p w14:paraId="4133D197">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（3）</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应建立追溯制度，实现中药制剂生产全过程来源可查、去向可追，确保发生质量安全风险的产品可召回、责任可追究。采购人有权随时对中药制剂的生产过程进行抽查检验，并派出专人监督。</w:t>
      </w:r>
    </w:p>
    <w:p w14:paraId="1A3100D8">
      <w:pPr>
        <w:autoSpaceDE w:val="0"/>
        <w:autoSpaceDN w:val="0"/>
        <w:ind w:firstLine="480" w:firstLineChars="200"/>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(4)采购人授权代表有资格在正常工作时间段访问工厂，进行检查或现场质量审计。采购人有权派一名或多名代表在产品和中间产品生产期间进驻工厂进行监督，或提供技术帮助和指导。</w:t>
      </w:r>
    </w:p>
    <w:p w14:paraId="52DAB4CC">
      <w:pPr>
        <w:autoSpaceDE w:val="0"/>
        <w:autoSpaceDN w:val="0"/>
        <w:ind w:firstLine="480" w:firstLineChars="200"/>
        <w:rPr>
          <w:rFonts w:hint="eastAsia" w:ascii="宋体" w:hAnsi="宋体" w:eastAsia="宋体" w:cs="宋体"/>
          <w:szCs w:val="24"/>
          <w:highlight w:val="none"/>
          <w:lang w:eastAsia="zh-CN"/>
        </w:rPr>
      </w:pPr>
      <w:r>
        <w:rPr>
          <w:rFonts w:hint="eastAsia" w:ascii="宋体" w:hAnsi="宋体" w:eastAsia="宋体" w:cs="宋体"/>
          <w:szCs w:val="24"/>
          <w:highlight w:val="none"/>
          <w:lang w:val="en-US" w:eastAsia="zh-CN"/>
        </w:rPr>
        <w:t>10</w:t>
      </w:r>
      <w:r>
        <w:rPr>
          <w:rFonts w:hint="eastAsia" w:ascii="宋体" w:hAnsi="宋体" w:eastAsia="宋体" w:cs="宋体"/>
          <w:szCs w:val="24"/>
          <w:highlight w:val="none"/>
        </w:rPr>
        <w:t>.交货要求：按采购人规定的送货时间、地点送货。如确实无法如期送货，须提前通知采购人并说明原因。如无故超过采购人规定时间未送货，采购人有权解除合同，一切损失由</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承担</w:t>
      </w:r>
      <w:r>
        <w:rPr>
          <w:rFonts w:hint="eastAsia" w:ascii="宋体" w:hAnsi="宋体" w:eastAsia="宋体" w:cs="宋体"/>
          <w:szCs w:val="24"/>
          <w:highlight w:val="none"/>
          <w:lang w:eastAsia="zh-CN"/>
        </w:rPr>
        <w:t>；</w:t>
      </w:r>
      <w:r>
        <w:rPr>
          <w:rFonts w:hint="eastAsia" w:ascii="宋体" w:hAnsi="宋体" w:eastAsia="宋体" w:cs="宋体"/>
          <w:sz w:val="24"/>
          <w:lang w:val="en-US" w:eastAsia="zh-CN"/>
        </w:rPr>
        <w:t>供应商</w:t>
      </w:r>
      <w:r>
        <w:rPr>
          <w:rFonts w:hint="eastAsia" w:ascii="宋体" w:hAnsi="宋体" w:cs="宋体"/>
          <w:sz w:val="24"/>
        </w:rPr>
        <w:t>无法供货的，</w:t>
      </w:r>
      <w:r>
        <w:rPr>
          <w:rFonts w:hint="eastAsia" w:ascii="宋体" w:hAnsi="宋体" w:cs="宋体"/>
          <w:sz w:val="24"/>
          <w:lang w:val="en-US" w:eastAsia="zh-CN"/>
        </w:rPr>
        <w:t>采购人</w:t>
      </w:r>
      <w:r>
        <w:rPr>
          <w:rFonts w:hint="eastAsia" w:ascii="宋体" w:hAnsi="宋体" w:cs="宋体"/>
          <w:sz w:val="24"/>
        </w:rPr>
        <w:t>可寻找其他有能力供货的供货商供货，涉及的金额（无论大于、等于或小于中标价）均由</w:t>
      </w:r>
      <w:r>
        <w:rPr>
          <w:rFonts w:hint="eastAsia" w:ascii="宋体" w:hAnsi="宋体" w:cs="宋体"/>
          <w:sz w:val="24"/>
          <w:lang w:val="en-US" w:eastAsia="zh-CN"/>
        </w:rPr>
        <w:t>供应商</w:t>
      </w:r>
      <w:r>
        <w:rPr>
          <w:rFonts w:hint="eastAsia" w:ascii="宋体" w:hAnsi="宋体" w:cs="宋体"/>
          <w:sz w:val="24"/>
        </w:rPr>
        <w:t>支付，</w:t>
      </w:r>
      <w:r>
        <w:rPr>
          <w:rFonts w:hint="eastAsia" w:ascii="宋体" w:hAnsi="宋体" w:cs="宋体"/>
          <w:sz w:val="24"/>
          <w:lang w:val="en-US" w:eastAsia="zh-CN"/>
        </w:rPr>
        <w:t>采购人</w:t>
      </w:r>
      <w:r>
        <w:rPr>
          <w:rFonts w:hint="eastAsia" w:ascii="宋体" w:hAnsi="宋体" w:cs="宋体"/>
          <w:sz w:val="24"/>
        </w:rPr>
        <w:t>只按照中标价支付给</w:t>
      </w:r>
      <w:r>
        <w:rPr>
          <w:rFonts w:hint="eastAsia" w:ascii="宋体" w:hAnsi="宋体" w:cs="宋体"/>
          <w:sz w:val="24"/>
          <w:lang w:val="en-US" w:eastAsia="zh-CN"/>
        </w:rPr>
        <w:t>供应商。</w:t>
      </w:r>
    </w:p>
    <w:p w14:paraId="7E5C178E">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w:t>
      </w:r>
      <w:r>
        <w:rPr>
          <w:rFonts w:hint="eastAsia" w:ascii="宋体" w:hAnsi="宋体" w:eastAsia="宋体" w:cs="宋体"/>
          <w:szCs w:val="24"/>
          <w:highlight w:val="none"/>
          <w:lang w:val="en-US" w:eastAsia="zh-CN"/>
        </w:rPr>
        <w:t>1</w:t>
      </w:r>
      <w:r>
        <w:rPr>
          <w:rFonts w:hint="eastAsia" w:ascii="宋体" w:hAnsi="宋体" w:eastAsia="宋体" w:cs="宋体"/>
          <w:szCs w:val="24"/>
          <w:highlight w:val="none"/>
        </w:rPr>
        <w:t>.采购人发出生产订单后</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须在24小时内反馈响应，并在第一道工序开始前5个工作日通知采购人，生产订单发出后45天内投标人须完成生产并送货至广州市沿江西路107号、佛山市南海区石龙北路15号御堡国际产业园</w:t>
      </w:r>
      <w:r>
        <w:rPr>
          <w:rFonts w:hint="eastAsia" w:ascii="宋体" w:hAnsi="宋体" w:eastAsia="宋体" w:cs="宋体"/>
          <w:szCs w:val="24"/>
          <w:highlight w:val="none"/>
          <w:lang w:val="en-US" w:eastAsia="zh-CN"/>
        </w:rPr>
        <w:t>或其他</w:t>
      </w:r>
      <w:r>
        <w:rPr>
          <w:rFonts w:hint="eastAsia" w:ascii="宋体" w:hAnsi="宋体" w:eastAsia="宋体" w:cs="宋体"/>
          <w:szCs w:val="24"/>
          <w:highlight w:val="none"/>
        </w:rPr>
        <w:t>采购人指定地点。</w:t>
      </w:r>
    </w:p>
    <w:p w14:paraId="583F04B4">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w:t>
      </w:r>
      <w:r>
        <w:rPr>
          <w:rFonts w:hint="eastAsia" w:ascii="宋体" w:hAnsi="宋体" w:eastAsia="宋体" w:cs="宋体"/>
          <w:szCs w:val="24"/>
          <w:highlight w:val="none"/>
          <w:lang w:val="en-US" w:eastAsia="zh-CN"/>
        </w:rPr>
        <w:t>2</w:t>
      </w:r>
      <w:r>
        <w:rPr>
          <w:rFonts w:hint="eastAsia" w:ascii="宋体" w:hAnsi="宋体" w:eastAsia="宋体" w:cs="宋体"/>
          <w:szCs w:val="24"/>
          <w:highlight w:val="none"/>
        </w:rPr>
        <w:t>.采购人对于因临床用量变化（包括种类的变化和用量的变化等）可适当调整单批次采购量，</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不得额外提出附加条件。（</w:t>
      </w:r>
      <w:r>
        <w:rPr>
          <w:rFonts w:hint="eastAsia" w:ascii="宋体" w:hAnsi="宋体" w:eastAsia="宋体" w:cs="宋体"/>
          <w:szCs w:val="24"/>
          <w:highlight w:val="none"/>
          <w:lang w:val="en-US" w:eastAsia="zh-CN"/>
        </w:rPr>
        <w:t>投标文件提供承诺函，格式自拟</w:t>
      </w:r>
      <w:r>
        <w:rPr>
          <w:rFonts w:hint="eastAsia" w:ascii="宋体" w:hAnsi="宋体" w:eastAsia="宋体" w:cs="宋体"/>
          <w:szCs w:val="24"/>
          <w:highlight w:val="none"/>
        </w:rPr>
        <w:t>）</w:t>
      </w:r>
    </w:p>
    <w:p w14:paraId="39B4A960">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w:t>
      </w:r>
      <w:r>
        <w:rPr>
          <w:rFonts w:hint="eastAsia" w:ascii="宋体" w:hAnsi="宋体" w:eastAsia="宋体" w:cs="宋体"/>
          <w:szCs w:val="24"/>
          <w:highlight w:val="none"/>
          <w:lang w:val="en-US" w:eastAsia="zh-CN"/>
        </w:rPr>
        <w:t>3</w:t>
      </w:r>
      <w:r>
        <w:rPr>
          <w:rFonts w:hint="eastAsia" w:ascii="宋体" w:hAnsi="宋体" w:eastAsia="宋体" w:cs="宋体"/>
          <w:szCs w:val="24"/>
          <w:highlight w:val="none"/>
        </w:rPr>
        <w:t>.技术要求：</w:t>
      </w:r>
    </w:p>
    <w:p w14:paraId="5BF6C12B">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（1）制剂质量应符合该制剂的注册标准及《中国药典》现行版的相关要求。（</w:t>
      </w:r>
      <w:r>
        <w:rPr>
          <w:rFonts w:hint="eastAsia" w:ascii="宋体" w:hAnsi="宋体" w:eastAsia="宋体" w:cs="宋体"/>
          <w:szCs w:val="24"/>
          <w:highlight w:val="none"/>
          <w:lang w:val="en-US" w:eastAsia="zh-CN"/>
        </w:rPr>
        <w:t>投标文件提供承诺函，格式自拟</w:t>
      </w:r>
      <w:r>
        <w:rPr>
          <w:rFonts w:hint="eastAsia" w:ascii="宋体" w:hAnsi="宋体" w:eastAsia="宋体" w:cs="宋体"/>
          <w:szCs w:val="24"/>
          <w:highlight w:val="none"/>
        </w:rPr>
        <w:t>）</w:t>
      </w:r>
    </w:p>
    <w:p w14:paraId="5E9947A8">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（2）制剂包装材料样式应按采购人所提供的样式为准，质量不低于现采购人所用的质量标准。(</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需在投标时提供实物样品)</w:t>
      </w:r>
    </w:p>
    <w:p w14:paraId="3D06571C">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（3）</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承诺制剂内包材提供的产品质量安全性符合现行药品包装要求，且制剂内包材品种应关联评审登记号。（</w:t>
      </w:r>
      <w:r>
        <w:rPr>
          <w:rFonts w:hint="eastAsia" w:ascii="宋体" w:hAnsi="宋体" w:eastAsia="宋体" w:cs="宋体"/>
          <w:szCs w:val="24"/>
          <w:highlight w:val="none"/>
          <w:lang w:val="en-US" w:eastAsia="zh-CN"/>
        </w:rPr>
        <w:t>投标文件提供承诺函，格式自拟</w:t>
      </w:r>
      <w:r>
        <w:rPr>
          <w:rFonts w:hint="eastAsia" w:ascii="宋体" w:hAnsi="宋体" w:eastAsia="宋体" w:cs="宋体"/>
          <w:szCs w:val="24"/>
          <w:highlight w:val="none"/>
        </w:rPr>
        <w:t>）</w:t>
      </w:r>
    </w:p>
    <w:p w14:paraId="43664E32">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（4）</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承诺制剂生产中原辅料和包装材料应按采购人要求采购，签订合同后需提供以下文件给采购人备案，并经采购人同意后方可采购。</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原则上不得变更原辅料和包装材料生产厂家，如必须更换的，需提前获得采购人同意：（</w:t>
      </w:r>
      <w:r>
        <w:rPr>
          <w:rFonts w:hint="eastAsia" w:ascii="宋体" w:hAnsi="宋体" w:eastAsia="宋体" w:cs="宋体"/>
          <w:szCs w:val="24"/>
          <w:highlight w:val="none"/>
          <w:lang w:val="en-US" w:eastAsia="zh-CN"/>
        </w:rPr>
        <w:t>投标文件提供承诺函，格式自拟</w:t>
      </w:r>
      <w:r>
        <w:rPr>
          <w:rFonts w:hint="eastAsia" w:ascii="宋体" w:hAnsi="宋体" w:eastAsia="宋体" w:cs="宋体"/>
          <w:szCs w:val="24"/>
          <w:highlight w:val="none"/>
        </w:rPr>
        <w:t>）</w:t>
      </w:r>
    </w:p>
    <w:p w14:paraId="55A34182">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①原辅料需提供齐全的生产厂家生产许可证、产品批件（或国家药监局药品评审中心登记平台公示信息、药品审评中心未收录品种需提供其它合法证明文件）给采购人备案；</w:t>
      </w:r>
    </w:p>
    <w:p w14:paraId="0F0E1B39">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②包装材料需提供齐全的生产厂家生产许可证、营业执照、产品批件（或国家药监局药品评审中心登记平台公示信息、药品审评中心未收录品种需提供其它合法证明文件）给采购人备案。</w:t>
      </w:r>
    </w:p>
    <w:p w14:paraId="242E123E">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（5）</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承诺在中药制剂加工过程中使用的中药饮片，严格执行以下法规、技术标准和规范要求（如国家有更新的，则需按照最新标准执行）：</w:t>
      </w:r>
    </w:p>
    <w:p w14:paraId="141C280C">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w:t>
      </w:r>
      <w:bookmarkStart w:id="0" w:name="OLE_LINK1"/>
      <w:r>
        <w:rPr>
          <w:rFonts w:hint="eastAsia" w:ascii="宋体" w:hAnsi="宋体" w:eastAsia="宋体" w:cs="宋体"/>
          <w:szCs w:val="24"/>
          <w:highlight w:val="none"/>
        </w:rPr>
        <w:t>中华人民共和国药品管理法</w:t>
      </w:r>
      <w:bookmarkEnd w:id="0"/>
      <w:r>
        <w:rPr>
          <w:rFonts w:hint="eastAsia" w:ascii="宋体" w:hAnsi="宋体" w:eastAsia="宋体" w:cs="宋体"/>
          <w:szCs w:val="24"/>
          <w:highlight w:val="none"/>
        </w:rPr>
        <w:t>》</w:t>
      </w:r>
    </w:p>
    <w:p w14:paraId="60E751FA">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w:t>
      </w:r>
      <w:bookmarkStart w:id="1" w:name="OLE_LINK2"/>
      <w:r>
        <w:rPr>
          <w:rFonts w:hint="eastAsia" w:ascii="宋体" w:hAnsi="宋体" w:eastAsia="宋体" w:cs="宋体"/>
          <w:szCs w:val="24"/>
          <w:highlight w:val="none"/>
        </w:rPr>
        <w:t>药品生产质量管理规范</w:t>
      </w:r>
      <w:bookmarkEnd w:id="1"/>
      <w:r>
        <w:rPr>
          <w:rFonts w:hint="eastAsia" w:ascii="宋体" w:hAnsi="宋体" w:eastAsia="宋体" w:cs="宋体"/>
          <w:szCs w:val="24"/>
          <w:highlight w:val="none"/>
        </w:rPr>
        <w:t>》</w:t>
      </w:r>
    </w:p>
    <w:p w14:paraId="324BA830">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《国家中药饮片炮制规范》</w:t>
      </w:r>
    </w:p>
    <w:p w14:paraId="732F1747">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w:t>
      </w:r>
      <w:bookmarkStart w:id="2" w:name="OLE_LINK3"/>
      <w:r>
        <w:rPr>
          <w:rFonts w:hint="eastAsia" w:ascii="宋体" w:hAnsi="宋体" w:eastAsia="宋体" w:cs="宋体"/>
          <w:szCs w:val="24"/>
          <w:highlight w:val="none"/>
        </w:rPr>
        <w:t>中华人民共和国药典</w:t>
      </w:r>
      <w:bookmarkEnd w:id="2"/>
      <w:r>
        <w:rPr>
          <w:rFonts w:hint="eastAsia" w:ascii="宋体" w:hAnsi="宋体" w:eastAsia="宋体" w:cs="宋体"/>
          <w:szCs w:val="24"/>
          <w:highlight w:val="none"/>
        </w:rPr>
        <w:t>》</w:t>
      </w:r>
    </w:p>
    <w:p w14:paraId="4E1B7A4A">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w:t>
      </w:r>
      <w:bookmarkStart w:id="3" w:name="OLE_LINK4"/>
      <w:r>
        <w:rPr>
          <w:rFonts w:hint="eastAsia" w:ascii="宋体" w:hAnsi="宋体" w:eastAsia="宋体" w:cs="宋体"/>
          <w:szCs w:val="24"/>
          <w:highlight w:val="none"/>
        </w:rPr>
        <w:t>广东省中药材标准</w:t>
      </w:r>
      <w:bookmarkEnd w:id="3"/>
      <w:r>
        <w:rPr>
          <w:rFonts w:hint="eastAsia" w:ascii="宋体" w:hAnsi="宋体" w:eastAsia="宋体" w:cs="宋体"/>
          <w:szCs w:val="24"/>
          <w:highlight w:val="none"/>
        </w:rPr>
        <w:t>》</w:t>
      </w:r>
    </w:p>
    <w:p w14:paraId="0C0411F2">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w:t>
      </w:r>
      <w:bookmarkStart w:id="4" w:name="OLE_LINK8"/>
      <w:r>
        <w:rPr>
          <w:rFonts w:hint="eastAsia" w:ascii="宋体" w:hAnsi="宋体" w:eastAsia="宋体" w:cs="宋体"/>
          <w:szCs w:val="24"/>
          <w:highlight w:val="none"/>
        </w:rPr>
        <w:t>广东省中药炮制规范</w:t>
      </w:r>
      <w:bookmarkEnd w:id="4"/>
      <w:r>
        <w:rPr>
          <w:rFonts w:hint="eastAsia" w:ascii="宋体" w:hAnsi="宋体" w:eastAsia="宋体" w:cs="宋体"/>
          <w:szCs w:val="24"/>
          <w:highlight w:val="none"/>
        </w:rPr>
        <w:t>》</w:t>
      </w:r>
    </w:p>
    <w:p w14:paraId="0DCACA54">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《药品经营质量管理规范》</w:t>
      </w:r>
    </w:p>
    <w:p w14:paraId="000D5220">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《药品生产质量管理规范》</w:t>
      </w:r>
    </w:p>
    <w:p w14:paraId="7E470BBF">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《中药材产地加工技术规范》</w:t>
      </w:r>
    </w:p>
    <w:p w14:paraId="445CAC59">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w:t>
      </w:r>
      <w:bookmarkStart w:id="5" w:name="OLE_LINK5"/>
      <w:r>
        <w:rPr>
          <w:rFonts w:hint="eastAsia" w:ascii="宋体" w:hAnsi="宋体" w:eastAsia="宋体" w:cs="宋体"/>
          <w:szCs w:val="24"/>
          <w:highlight w:val="none"/>
        </w:rPr>
        <w:t>中药材包装技术规范</w:t>
      </w:r>
      <w:bookmarkEnd w:id="5"/>
      <w:r>
        <w:rPr>
          <w:rFonts w:hint="eastAsia" w:ascii="宋体" w:hAnsi="宋体" w:eastAsia="宋体" w:cs="宋体"/>
          <w:szCs w:val="24"/>
          <w:highlight w:val="none"/>
        </w:rPr>
        <w:t>》</w:t>
      </w:r>
    </w:p>
    <w:p w14:paraId="0AA38458">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w:t>
      </w:r>
      <w:bookmarkStart w:id="6" w:name="OLE_LINK6"/>
      <w:r>
        <w:rPr>
          <w:rFonts w:hint="eastAsia" w:ascii="宋体" w:hAnsi="宋体" w:eastAsia="宋体" w:cs="宋体"/>
          <w:szCs w:val="24"/>
          <w:highlight w:val="none"/>
        </w:rPr>
        <w:t>中药材仓储管理规范</w:t>
      </w:r>
      <w:bookmarkEnd w:id="6"/>
      <w:r>
        <w:rPr>
          <w:rFonts w:hint="eastAsia" w:ascii="宋体" w:hAnsi="宋体" w:eastAsia="宋体" w:cs="宋体"/>
          <w:szCs w:val="24"/>
          <w:highlight w:val="none"/>
        </w:rPr>
        <w:t>》</w:t>
      </w:r>
    </w:p>
    <w:p w14:paraId="3333C87D">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w:t>
      </w:r>
      <w:bookmarkStart w:id="7" w:name="OLE_LINK7"/>
      <w:r>
        <w:rPr>
          <w:rFonts w:hint="eastAsia" w:ascii="宋体" w:hAnsi="宋体" w:eastAsia="宋体" w:cs="宋体"/>
          <w:szCs w:val="24"/>
          <w:highlight w:val="none"/>
        </w:rPr>
        <w:t>中药材仓库技术规范</w:t>
      </w:r>
      <w:bookmarkEnd w:id="7"/>
      <w:r>
        <w:rPr>
          <w:rFonts w:hint="eastAsia" w:ascii="宋体" w:hAnsi="宋体" w:eastAsia="宋体" w:cs="宋体"/>
          <w:szCs w:val="24"/>
          <w:highlight w:val="none"/>
        </w:rPr>
        <w:t>》</w:t>
      </w:r>
    </w:p>
    <w:p w14:paraId="1503E56B">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其他和项目相关的法规、技术标准和规范</w:t>
      </w:r>
    </w:p>
    <w:p w14:paraId="6A956044">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6）由于本项目拟加工产品的“生产工艺及工艺生产环节中的关键技术”不宜对外公告，采购人将在报名结束后组织一次现场介绍会，并于介绍会上向获取文件的供应商介绍拟加工产品的“生产工艺及工艺生产环节中的关键技术”要求，具体安排如下：</w:t>
      </w:r>
    </w:p>
    <w:p w14:paraId="61E0CE4B">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时间：202</w:t>
      </w:r>
      <w:r>
        <w:rPr>
          <w:rFonts w:hint="eastAsia" w:ascii="宋体" w:hAnsi="宋体" w:cs="宋体"/>
          <w:szCs w:val="24"/>
          <w:highlight w:val="none"/>
          <w:lang w:val="en-US" w:eastAsia="zh-CN"/>
        </w:rPr>
        <w:t>6</w:t>
      </w:r>
      <w:r>
        <w:rPr>
          <w:rFonts w:hint="eastAsia" w:ascii="宋体" w:hAnsi="宋体" w:eastAsia="宋体" w:cs="宋体"/>
          <w:szCs w:val="24"/>
          <w:highlight w:val="none"/>
        </w:rPr>
        <w:t>年**月**日：</w:t>
      </w:r>
    </w:p>
    <w:p w14:paraId="126364A5">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地点：佛山市南海区石龙北路15号御堡国际产业园一栋4楼制剂生产与转化研究中心</w:t>
      </w:r>
    </w:p>
    <w:p w14:paraId="33F23178">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联系人：李老师 0757-86700041</w:t>
      </w:r>
    </w:p>
    <w:p w14:paraId="1B430245">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具体要求：①</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授权代表（最多2人）凭身份证及</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盖章出具的《授权函》参与现场介绍会；②</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授权代表须在现场介绍会正式开始前，签署《现场介绍会签到表》和《保密协议》；</w:t>
      </w:r>
    </w:p>
    <w:p w14:paraId="740B24DA">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w:t>
      </w:r>
      <w:r>
        <w:rPr>
          <w:rFonts w:hint="eastAsia" w:ascii="宋体" w:hAnsi="宋体" w:eastAsia="宋体" w:cs="宋体"/>
          <w:szCs w:val="24"/>
          <w:highlight w:val="none"/>
          <w:lang w:val="en-US" w:eastAsia="zh-CN"/>
        </w:rPr>
        <w:t>4</w:t>
      </w:r>
      <w:r>
        <w:rPr>
          <w:rFonts w:hint="eastAsia" w:ascii="宋体" w:hAnsi="宋体" w:eastAsia="宋体" w:cs="宋体"/>
          <w:szCs w:val="24"/>
          <w:highlight w:val="none"/>
        </w:rPr>
        <w:t>.其他要求：</w:t>
      </w:r>
    </w:p>
    <w:p w14:paraId="694675E2">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需提供采购人驻场人员的食宿（相关费用包含在投标报价中，</w:t>
      </w:r>
      <w:r>
        <w:rPr>
          <w:rFonts w:hint="eastAsia" w:ascii="宋体" w:hAnsi="宋体" w:eastAsia="宋体" w:cs="宋体"/>
          <w:szCs w:val="24"/>
          <w:highlight w:val="none"/>
          <w:lang w:val="en-US" w:eastAsia="zh-CN"/>
        </w:rPr>
        <w:t>采购人不再另行支付</w:t>
      </w:r>
      <w:r>
        <w:rPr>
          <w:rFonts w:hint="eastAsia" w:ascii="宋体" w:hAnsi="宋体" w:eastAsia="宋体" w:cs="宋体"/>
          <w:szCs w:val="24"/>
          <w:highlight w:val="none"/>
        </w:rPr>
        <w:t>），驻场人员有权询问与生产过程有关的事项；驻场人员对生产过程起监督作用，产品质量由</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全权负责。（</w:t>
      </w:r>
      <w:r>
        <w:rPr>
          <w:rFonts w:hint="eastAsia" w:ascii="宋体" w:hAnsi="宋体" w:eastAsia="宋体" w:cs="宋体"/>
          <w:szCs w:val="24"/>
          <w:highlight w:val="none"/>
          <w:lang w:val="en-US" w:eastAsia="zh-CN"/>
        </w:rPr>
        <w:t>投标文件提供承诺函，格式自拟</w:t>
      </w:r>
      <w:r>
        <w:rPr>
          <w:rFonts w:hint="eastAsia" w:ascii="宋体" w:hAnsi="宋体" w:eastAsia="宋体" w:cs="宋体"/>
          <w:szCs w:val="24"/>
          <w:highlight w:val="none"/>
        </w:rPr>
        <w:t>）</w:t>
      </w:r>
    </w:p>
    <w:p w14:paraId="17BAC987">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（2）合同期内采购人有权根据</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的服务质量及态度进行考量，对未达要求的事项预先给予提醒警告，如未及时改正的，采购人有权提前解除合同，导致的所有损失由</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承担。</w:t>
      </w:r>
    </w:p>
    <w:p w14:paraId="6169A7A8">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eastAsia="zh-CN"/>
        </w:rPr>
        <w:t>（</w:t>
      </w:r>
      <w:r>
        <w:rPr>
          <w:rFonts w:hint="eastAsia" w:ascii="宋体" w:hAnsi="宋体" w:eastAsia="宋体" w:cs="宋体"/>
          <w:szCs w:val="24"/>
          <w:highlight w:val="none"/>
          <w:lang w:val="en-US" w:eastAsia="zh-CN"/>
        </w:rPr>
        <w:t>3）</w:t>
      </w:r>
      <w:r>
        <w:rPr>
          <w:rFonts w:hint="eastAsia" w:ascii="宋体" w:hAnsi="宋体" w:eastAsia="宋体" w:cs="宋体"/>
          <w:szCs w:val="24"/>
          <w:highlight w:val="none"/>
        </w:rPr>
        <w:t>供应商应承诺，投标文件所提供报价，是已经作了充分地预判后所作出的，并认定该报价在本项目合同履行过程中，可以取得合理的经济利益，不存在低于企业成本报价或者计划依靠不支出必要成本谋取暴利的情形。（</w:t>
      </w:r>
      <w:r>
        <w:rPr>
          <w:rFonts w:hint="eastAsia" w:ascii="宋体" w:hAnsi="宋体" w:eastAsia="宋体" w:cs="宋体"/>
          <w:szCs w:val="24"/>
          <w:highlight w:val="none"/>
          <w:lang w:val="en-US" w:eastAsia="zh-CN"/>
        </w:rPr>
        <w:t>投标文件提供承诺函，格式自拟</w:t>
      </w:r>
      <w:r>
        <w:rPr>
          <w:rFonts w:hint="eastAsia" w:ascii="宋体" w:hAnsi="宋体" w:eastAsia="宋体" w:cs="宋体"/>
          <w:szCs w:val="24"/>
          <w:highlight w:val="none"/>
        </w:rPr>
        <w:t>）</w:t>
      </w:r>
    </w:p>
    <w:p w14:paraId="4209D836">
      <w:pPr>
        <w:autoSpaceDE w:val="0"/>
        <w:autoSpaceDN w:val="0"/>
        <w:ind w:firstLine="480" w:firstLineChars="200"/>
        <w:rPr>
          <w:rFonts w:hint="eastAsia" w:ascii="宋体" w:hAnsi="宋体" w:eastAsia="宋体" w:cs="宋体"/>
          <w:szCs w:val="24"/>
          <w:highlight w:val="none"/>
          <w:lang w:val="en-US" w:eastAsia="zh-CN"/>
        </w:rPr>
      </w:pPr>
    </w:p>
    <w:p w14:paraId="7AB64276">
      <w:pPr>
        <w:pStyle w:val="7"/>
        <w:keepNext w:val="0"/>
        <w:keepLines w:val="0"/>
        <w:pageBreakBefore w:val="0"/>
        <w:widowControl w:val="0"/>
        <w:kinsoku/>
        <w:wordWrap/>
        <w:overflowPunct/>
        <w:topLinePunct w:val="0"/>
        <w:autoSpaceDE/>
        <w:autoSpaceDN/>
        <w:bidi w:val="0"/>
        <w:adjustRightInd/>
        <w:snapToGrid w:val="0"/>
        <w:spacing w:before="0" w:after="0" w:line="360" w:lineRule="auto"/>
        <w:textAlignment w:val="auto"/>
        <w:outlineLvl w:val="2"/>
        <w:rPr>
          <w:rFonts w:hint="eastAsia" w:ascii="宋体" w:hAnsi="宋体" w:eastAsia="宋体" w:cs="宋体"/>
          <w:b/>
          <w:bCs w:val="0"/>
          <w:sz w:val="24"/>
          <w:szCs w:val="24"/>
          <w:highlight w:val="none"/>
          <w:lang w:val="en-US" w:eastAsia="zh-CN"/>
        </w:rPr>
      </w:pPr>
      <w:r>
        <w:rPr>
          <w:rFonts w:hint="eastAsia" w:ascii="宋体" w:hAnsi="宋体" w:eastAsia="宋体" w:cs="宋体"/>
          <w:b/>
          <w:bCs w:val="0"/>
          <w:sz w:val="24"/>
          <w:szCs w:val="24"/>
          <w:highlight w:val="none"/>
          <w:lang w:val="en-US" w:eastAsia="zh-CN"/>
        </w:rPr>
        <w:t>三、样品要求</w:t>
      </w:r>
    </w:p>
    <w:p w14:paraId="38738844">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1.</w:t>
      </w:r>
      <w:r>
        <w:rPr>
          <w:rFonts w:hint="eastAsia" w:ascii="宋体" w:hAnsi="宋体" w:eastAsia="宋体" w:cs="宋体"/>
          <w:szCs w:val="24"/>
          <w:highlight w:val="none"/>
          <w:lang w:val="en-US" w:eastAsia="zh-CN"/>
        </w:rPr>
        <w:t>供应商应</w:t>
      </w:r>
      <w:r>
        <w:rPr>
          <w:rFonts w:hint="eastAsia" w:ascii="宋体" w:hAnsi="宋体" w:eastAsia="宋体" w:cs="宋体"/>
          <w:szCs w:val="24"/>
          <w:highlight w:val="none"/>
        </w:rPr>
        <w:t>将密封的投标样品在投标截止时间前送达开标地点，否则，采购人或采购代理机构应当拒收。</w:t>
      </w:r>
    </w:p>
    <w:p w14:paraId="7CC9B618">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2.递交的实物样品要求：</w:t>
      </w:r>
    </w:p>
    <w:tbl>
      <w:tblPr>
        <w:tblStyle w:val="4"/>
        <w:tblW w:w="937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56" w:type="dxa"/>
          <w:left w:w="96" w:type="dxa"/>
          <w:bottom w:w="56" w:type="dxa"/>
          <w:right w:w="96" w:type="dxa"/>
        </w:tblCellMar>
      </w:tblPr>
      <w:tblGrid>
        <w:gridCol w:w="712"/>
        <w:gridCol w:w="2184"/>
        <w:gridCol w:w="1147"/>
        <w:gridCol w:w="2802"/>
        <w:gridCol w:w="2531"/>
      </w:tblGrid>
      <w:tr w14:paraId="211651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6" w:type="dxa"/>
            <w:left w:w="96" w:type="dxa"/>
            <w:bottom w:w="56" w:type="dxa"/>
            <w:right w:w="96" w:type="dxa"/>
          </w:tblCellMar>
        </w:tblPrEx>
        <w:trPr>
          <w:trHeight w:val="0" w:hRule="atLeast"/>
          <w:jc w:val="center"/>
        </w:trPr>
        <w:tc>
          <w:tcPr>
            <w:tcW w:w="712" w:type="dxa"/>
            <w:noWrap w:val="0"/>
            <w:vAlign w:val="center"/>
          </w:tcPr>
          <w:p w14:paraId="55C421E6">
            <w:pPr>
              <w:pStyle w:val="7"/>
              <w:snapToGrid w:val="0"/>
              <w:jc w:val="center"/>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序号</w:t>
            </w:r>
          </w:p>
        </w:tc>
        <w:tc>
          <w:tcPr>
            <w:tcW w:w="2184" w:type="dxa"/>
            <w:noWrap w:val="0"/>
            <w:vAlign w:val="center"/>
          </w:tcPr>
          <w:p w14:paraId="3A02414C">
            <w:pPr>
              <w:pStyle w:val="7"/>
              <w:snapToGrid w:val="0"/>
              <w:jc w:val="center"/>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样品名称</w:t>
            </w:r>
          </w:p>
        </w:tc>
        <w:tc>
          <w:tcPr>
            <w:tcW w:w="1147" w:type="dxa"/>
            <w:noWrap w:val="0"/>
            <w:vAlign w:val="center"/>
          </w:tcPr>
          <w:p w14:paraId="577F66C4">
            <w:pPr>
              <w:pStyle w:val="7"/>
              <w:snapToGrid w:val="0"/>
              <w:jc w:val="center"/>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数量</w:t>
            </w:r>
          </w:p>
        </w:tc>
        <w:tc>
          <w:tcPr>
            <w:tcW w:w="2802" w:type="dxa"/>
            <w:noWrap w:val="0"/>
            <w:vAlign w:val="center"/>
          </w:tcPr>
          <w:p w14:paraId="27B5E030">
            <w:pPr>
              <w:pStyle w:val="7"/>
              <w:snapToGrid w:val="0"/>
              <w:jc w:val="center"/>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样品规格</w:t>
            </w:r>
          </w:p>
        </w:tc>
        <w:tc>
          <w:tcPr>
            <w:tcW w:w="2531" w:type="dxa"/>
            <w:noWrap w:val="0"/>
            <w:vAlign w:val="center"/>
          </w:tcPr>
          <w:p w14:paraId="17A48C57">
            <w:pPr>
              <w:pStyle w:val="7"/>
              <w:snapToGrid w:val="0"/>
              <w:jc w:val="center"/>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样品制作的标准和要求</w:t>
            </w:r>
          </w:p>
        </w:tc>
      </w:tr>
      <w:tr w14:paraId="4D7BB9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6" w:type="dxa"/>
            <w:left w:w="96" w:type="dxa"/>
            <w:bottom w:w="56" w:type="dxa"/>
            <w:right w:w="96" w:type="dxa"/>
          </w:tblCellMar>
        </w:tblPrEx>
        <w:trPr>
          <w:trHeight w:val="0" w:hRule="atLeast"/>
          <w:jc w:val="center"/>
        </w:trPr>
        <w:tc>
          <w:tcPr>
            <w:tcW w:w="712" w:type="dxa"/>
            <w:noWrap w:val="0"/>
            <w:vAlign w:val="center"/>
          </w:tcPr>
          <w:p w14:paraId="6905233B">
            <w:pPr>
              <w:pStyle w:val="7"/>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c>
          <w:tcPr>
            <w:tcW w:w="2184" w:type="dxa"/>
            <w:noWrap w:val="0"/>
            <w:vAlign w:val="center"/>
          </w:tcPr>
          <w:p w14:paraId="7B387AE9">
            <w:pPr>
              <w:pStyle w:val="7"/>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清咽喉合剂</w:t>
            </w:r>
            <w:r>
              <w:rPr>
                <w:rFonts w:hint="eastAsia" w:ascii="宋体" w:hAnsi="宋体" w:eastAsia="宋体" w:cs="宋体"/>
                <w:sz w:val="24"/>
                <w:szCs w:val="24"/>
                <w:highlight w:val="none"/>
                <w:lang w:val="en-US" w:eastAsia="zh-CN"/>
              </w:rPr>
              <w:t>30ml内包装</w:t>
            </w:r>
          </w:p>
        </w:tc>
        <w:tc>
          <w:tcPr>
            <w:tcW w:w="1147" w:type="dxa"/>
            <w:noWrap w:val="0"/>
            <w:vAlign w:val="center"/>
          </w:tcPr>
          <w:p w14:paraId="15FD19AF">
            <w:pPr>
              <w:pStyle w:val="7"/>
              <w:snapToGrid w:val="0"/>
              <w:jc w:val="center"/>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1套</w:t>
            </w:r>
          </w:p>
        </w:tc>
        <w:tc>
          <w:tcPr>
            <w:tcW w:w="2802" w:type="dxa"/>
            <w:noWrap w:val="0"/>
            <w:vAlign w:val="center"/>
          </w:tcPr>
          <w:p w14:paraId="0C1C65CE">
            <w:pPr>
              <w:tabs>
                <w:tab w:val="left" w:pos="567"/>
              </w:tabs>
              <w:snapToGrid/>
              <w:spacing w:line="240" w:lineRule="auto"/>
              <w:ind w:left="0" w:firstLine="0"/>
              <w:jc w:val="center"/>
              <w:rPr>
                <w:rFonts w:hint="eastAsia" w:ascii="宋体" w:hAnsi="宋体" w:eastAsia="宋体" w:cs="宋体"/>
                <w:sz w:val="24"/>
                <w:szCs w:val="24"/>
                <w:highlight w:val="none"/>
              </w:rPr>
            </w:pPr>
            <w:r>
              <w:rPr>
                <w:rFonts w:hint="eastAsia" w:ascii="宋体" w:hAnsi="宋体" w:eastAsia="宋体" w:cs="宋体"/>
                <w:sz w:val="24"/>
                <w:szCs w:val="24"/>
              </w:rPr>
              <w:t>与现有产品包装外观、材质一致</w:t>
            </w:r>
          </w:p>
        </w:tc>
        <w:tc>
          <w:tcPr>
            <w:tcW w:w="2531" w:type="dxa"/>
            <w:noWrap w:val="0"/>
            <w:vAlign w:val="center"/>
          </w:tcPr>
          <w:p w14:paraId="04747A2D">
            <w:pPr>
              <w:tabs>
                <w:tab w:val="left" w:pos="567"/>
              </w:tabs>
              <w:snapToGrid/>
              <w:spacing w:line="240" w:lineRule="auto"/>
              <w:ind w:left="0" w:firstLine="0"/>
              <w:jc w:val="center"/>
              <w:rPr>
                <w:rFonts w:hint="eastAsia" w:ascii="宋体" w:hAnsi="宋体" w:eastAsia="宋体" w:cs="宋体"/>
                <w:sz w:val="24"/>
                <w:szCs w:val="24"/>
                <w:highlight w:val="none"/>
              </w:rPr>
            </w:pPr>
            <w:r>
              <w:rPr>
                <w:rFonts w:hint="eastAsia" w:ascii="宋体" w:hAnsi="宋体" w:eastAsia="宋体" w:cs="宋体"/>
                <w:sz w:val="24"/>
                <w:szCs w:val="24"/>
              </w:rPr>
              <w:t>与现有产品包装外观、材质一致</w:t>
            </w:r>
          </w:p>
        </w:tc>
      </w:tr>
      <w:tr w14:paraId="51C10C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6" w:type="dxa"/>
            <w:left w:w="96" w:type="dxa"/>
            <w:bottom w:w="56" w:type="dxa"/>
            <w:right w:w="96" w:type="dxa"/>
          </w:tblCellMar>
        </w:tblPrEx>
        <w:trPr>
          <w:trHeight w:val="0" w:hRule="atLeast"/>
          <w:jc w:val="center"/>
        </w:trPr>
        <w:tc>
          <w:tcPr>
            <w:tcW w:w="712" w:type="dxa"/>
            <w:noWrap w:val="0"/>
            <w:vAlign w:val="center"/>
          </w:tcPr>
          <w:p w14:paraId="166A87E2">
            <w:pPr>
              <w:pStyle w:val="7"/>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2184" w:type="dxa"/>
            <w:noWrap w:val="0"/>
            <w:vAlign w:val="center"/>
          </w:tcPr>
          <w:p w14:paraId="2CA8BF28">
            <w:pPr>
              <w:pStyle w:val="7"/>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清咽喉合剂</w:t>
            </w:r>
            <w:r>
              <w:rPr>
                <w:rFonts w:hint="eastAsia" w:ascii="宋体" w:hAnsi="宋体" w:eastAsia="宋体" w:cs="宋体"/>
                <w:sz w:val="24"/>
                <w:szCs w:val="24"/>
                <w:highlight w:val="none"/>
                <w:lang w:val="en-US" w:eastAsia="zh-CN"/>
              </w:rPr>
              <w:t>30ml外包装</w:t>
            </w:r>
          </w:p>
        </w:tc>
        <w:tc>
          <w:tcPr>
            <w:tcW w:w="1147" w:type="dxa"/>
            <w:noWrap w:val="0"/>
            <w:vAlign w:val="center"/>
          </w:tcPr>
          <w:p w14:paraId="3C9E5E10">
            <w:pPr>
              <w:pStyle w:val="7"/>
              <w:snapToGrid w:val="0"/>
              <w:jc w:val="center"/>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1个</w:t>
            </w:r>
          </w:p>
        </w:tc>
        <w:tc>
          <w:tcPr>
            <w:tcW w:w="2802" w:type="dxa"/>
            <w:noWrap w:val="0"/>
            <w:vAlign w:val="center"/>
          </w:tcPr>
          <w:p w14:paraId="4B3324AE">
            <w:pPr>
              <w:tabs>
                <w:tab w:val="left" w:pos="567"/>
              </w:tabs>
              <w:snapToGrid/>
              <w:spacing w:line="240" w:lineRule="auto"/>
              <w:ind w:left="0" w:firstLine="0"/>
              <w:jc w:val="center"/>
              <w:rPr>
                <w:rFonts w:hint="eastAsia" w:ascii="宋体" w:hAnsi="宋体" w:eastAsia="宋体" w:cs="宋体"/>
                <w:sz w:val="24"/>
                <w:szCs w:val="24"/>
                <w:highlight w:val="none"/>
              </w:rPr>
            </w:pPr>
            <w:r>
              <w:rPr>
                <w:rFonts w:hint="eastAsia" w:ascii="宋体" w:hAnsi="宋体" w:eastAsia="宋体" w:cs="宋体"/>
                <w:sz w:val="24"/>
                <w:szCs w:val="24"/>
              </w:rPr>
              <w:t>与现有产品包装外观、材质一致</w:t>
            </w:r>
          </w:p>
        </w:tc>
        <w:tc>
          <w:tcPr>
            <w:tcW w:w="2531" w:type="dxa"/>
            <w:noWrap w:val="0"/>
            <w:vAlign w:val="center"/>
          </w:tcPr>
          <w:p w14:paraId="1FF1958C">
            <w:pPr>
              <w:tabs>
                <w:tab w:val="left" w:pos="567"/>
              </w:tabs>
              <w:snapToGrid/>
              <w:spacing w:line="240" w:lineRule="auto"/>
              <w:ind w:left="0" w:firstLine="0"/>
              <w:jc w:val="center"/>
              <w:rPr>
                <w:rFonts w:hint="eastAsia" w:ascii="宋体" w:hAnsi="宋体" w:eastAsia="宋体" w:cs="宋体"/>
                <w:sz w:val="24"/>
                <w:szCs w:val="24"/>
                <w:highlight w:val="none"/>
              </w:rPr>
            </w:pPr>
            <w:r>
              <w:rPr>
                <w:rFonts w:hint="eastAsia" w:ascii="宋体" w:hAnsi="宋体" w:eastAsia="宋体" w:cs="宋体"/>
                <w:sz w:val="24"/>
                <w:szCs w:val="24"/>
              </w:rPr>
              <w:t>与现有产品包装外观、材质一致</w:t>
            </w:r>
          </w:p>
        </w:tc>
      </w:tr>
      <w:tr w14:paraId="5289C5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6" w:type="dxa"/>
            <w:left w:w="96" w:type="dxa"/>
            <w:bottom w:w="56" w:type="dxa"/>
            <w:right w:w="96" w:type="dxa"/>
          </w:tblCellMar>
        </w:tblPrEx>
        <w:trPr>
          <w:trHeight w:val="0" w:hRule="atLeast"/>
          <w:jc w:val="center"/>
        </w:trPr>
        <w:tc>
          <w:tcPr>
            <w:tcW w:w="712" w:type="dxa"/>
            <w:noWrap w:val="0"/>
            <w:vAlign w:val="center"/>
          </w:tcPr>
          <w:p w14:paraId="7A15A09F">
            <w:pPr>
              <w:pStyle w:val="7"/>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p>
        </w:tc>
        <w:tc>
          <w:tcPr>
            <w:tcW w:w="2184" w:type="dxa"/>
            <w:noWrap w:val="0"/>
            <w:vAlign w:val="center"/>
          </w:tcPr>
          <w:p w14:paraId="4D68C232">
            <w:pPr>
              <w:pStyle w:val="7"/>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清咽喉合剂</w:t>
            </w:r>
            <w:r>
              <w:rPr>
                <w:rFonts w:hint="eastAsia" w:ascii="宋体" w:hAnsi="宋体" w:eastAsia="宋体" w:cs="宋体"/>
                <w:sz w:val="24"/>
                <w:szCs w:val="24"/>
                <w:highlight w:val="none"/>
                <w:lang w:val="en-US" w:eastAsia="zh-CN"/>
              </w:rPr>
              <w:t>100</w:t>
            </w:r>
            <w:r>
              <w:rPr>
                <w:rFonts w:hint="eastAsia" w:ascii="宋体" w:hAnsi="宋体" w:eastAsia="宋体" w:cs="宋体"/>
                <w:sz w:val="24"/>
                <w:szCs w:val="24"/>
                <w:highlight w:val="none"/>
              </w:rPr>
              <w:t>ml内包装</w:t>
            </w:r>
          </w:p>
        </w:tc>
        <w:tc>
          <w:tcPr>
            <w:tcW w:w="1147" w:type="dxa"/>
            <w:noWrap w:val="0"/>
            <w:vAlign w:val="center"/>
          </w:tcPr>
          <w:p w14:paraId="3DBF5748">
            <w:pPr>
              <w:pStyle w:val="7"/>
              <w:snapToGrid w:val="0"/>
              <w:jc w:val="center"/>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1套</w:t>
            </w:r>
          </w:p>
        </w:tc>
        <w:tc>
          <w:tcPr>
            <w:tcW w:w="2802" w:type="dxa"/>
            <w:noWrap w:val="0"/>
            <w:vAlign w:val="center"/>
          </w:tcPr>
          <w:p w14:paraId="2CB44C55">
            <w:pPr>
              <w:tabs>
                <w:tab w:val="left" w:pos="567"/>
              </w:tabs>
              <w:snapToGrid/>
              <w:spacing w:line="240" w:lineRule="auto"/>
              <w:ind w:left="0" w:firstLine="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rPr>
              <w:t>与现有产品包装外观、材质一致</w:t>
            </w:r>
          </w:p>
        </w:tc>
        <w:tc>
          <w:tcPr>
            <w:tcW w:w="2531" w:type="dxa"/>
            <w:noWrap w:val="0"/>
            <w:vAlign w:val="center"/>
          </w:tcPr>
          <w:p w14:paraId="4E99F726">
            <w:pPr>
              <w:tabs>
                <w:tab w:val="left" w:pos="567"/>
              </w:tabs>
              <w:snapToGrid/>
              <w:spacing w:line="240" w:lineRule="auto"/>
              <w:ind w:left="0" w:firstLine="0"/>
              <w:jc w:val="center"/>
              <w:rPr>
                <w:rFonts w:hint="eastAsia" w:ascii="宋体" w:hAnsi="宋体" w:eastAsia="宋体" w:cs="宋体"/>
                <w:sz w:val="24"/>
                <w:szCs w:val="24"/>
                <w:highlight w:val="none"/>
              </w:rPr>
            </w:pPr>
            <w:r>
              <w:rPr>
                <w:rFonts w:hint="eastAsia" w:ascii="宋体" w:hAnsi="宋体" w:eastAsia="宋体" w:cs="宋体"/>
                <w:sz w:val="24"/>
                <w:szCs w:val="24"/>
              </w:rPr>
              <w:t>与现有产品包装外观、材质一致</w:t>
            </w:r>
          </w:p>
        </w:tc>
      </w:tr>
      <w:tr w14:paraId="4F6D6F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6" w:type="dxa"/>
            <w:left w:w="96" w:type="dxa"/>
            <w:bottom w:w="56" w:type="dxa"/>
            <w:right w:w="96" w:type="dxa"/>
          </w:tblCellMar>
        </w:tblPrEx>
        <w:trPr>
          <w:trHeight w:val="135" w:hRule="atLeast"/>
          <w:jc w:val="center"/>
        </w:trPr>
        <w:tc>
          <w:tcPr>
            <w:tcW w:w="712" w:type="dxa"/>
            <w:noWrap w:val="0"/>
            <w:vAlign w:val="center"/>
          </w:tcPr>
          <w:p w14:paraId="5ECF7121">
            <w:pPr>
              <w:pStyle w:val="7"/>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w:t>
            </w:r>
          </w:p>
        </w:tc>
        <w:tc>
          <w:tcPr>
            <w:tcW w:w="2184" w:type="dxa"/>
            <w:noWrap w:val="0"/>
            <w:vAlign w:val="center"/>
          </w:tcPr>
          <w:p w14:paraId="665330E1">
            <w:pPr>
              <w:pStyle w:val="7"/>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清咽喉合剂</w:t>
            </w:r>
            <w:r>
              <w:rPr>
                <w:rFonts w:hint="eastAsia" w:ascii="宋体" w:hAnsi="宋体" w:eastAsia="宋体" w:cs="宋体"/>
                <w:sz w:val="24"/>
                <w:szCs w:val="24"/>
                <w:highlight w:val="none"/>
                <w:lang w:val="en-US" w:eastAsia="zh-CN"/>
              </w:rPr>
              <w:t>100</w:t>
            </w:r>
            <w:r>
              <w:rPr>
                <w:rFonts w:hint="eastAsia" w:ascii="宋体" w:hAnsi="宋体" w:eastAsia="宋体" w:cs="宋体"/>
                <w:sz w:val="24"/>
                <w:szCs w:val="24"/>
                <w:highlight w:val="none"/>
              </w:rPr>
              <w:t>ml</w:t>
            </w:r>
            <w:r>
              <w:rPr>
                <w:rFonts w:hint="eastAsia" w:ascii="宋体" w:hAnsi="宋体" w:eastAsia="宋体" w:cs="宋体"/>
                <w:sz w:val="24"/>
                <w:szCs w:val="24"/>
                <w:highlight w:val="none"/>
                <w:lang w:val="en-US" w:eastAsia="zh-CN"/>
              </w:rPr>
              <w:t>外</w:t>
            </w:r>
            <w:r>
              <w:rPr>
                <w:rFonts w:hint="eastAsia" w:ascii="宋体" w:hAnsi="宋体" w:eastAsia="宋体" w:cs="宋体"/>
                <w:sz w:val="24"/>
                <w:szCs w:val="24"/>
                <w:highlight w:val="none"/>
              </w:rPr>
              <w:t>包装</w:t>
            </w:r>
          </w:p>
        </w:tc>
        <w:tc>
          <w:tcPr>
            <w:tcW w:w="1147" w:type="dxa"/>
            <w:noWrap w:val="0"/>
            <w:vAlign w:val="center"/>
          </w:tcPr>
          <w:p w14:paraId="62E564E7">
            <w:pPr>
              <w:pStyle w:val="7"/>
              <w:snapToGrid w:val="0"/>
              <w:jc w:val="center"/>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1个</w:t>
            </w:r>
          </w:p>
        </w:tc>
        <w:tc>
          <w:tcPr>
            <w:tcW w:w="2802" w:type="dxa"/>
            <w:noWrap w:val="0"/>
            <w:vAlign w:val="center"/>
          </w:tcPr>
          <w:p w14:paraId="2BD9F09E">
            <w:pPr>
              <w:tabs>
                <w:tab w:val="left" w:pos="567"/>
              </w:tabs>
              <w:snapToGrid/>
              <w:spacing w:line="240" w:lineRule="auto"/>
              <w:ind w:left="0" w:firstLine="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rPr>
              <w:t>与现有产品包装外观、材质一致</w:t>
            </w:r>
          </w:p>
        </w:tc>
        <w:tc>
          <w:tcPr>
            <w:tcW w:w="2531" w:type="dxa"/>
            <w:noWrap w:val="0"/>
            <w:vAlign w:val="center"/>
          </w:tcPr>
          <w:p w14:paraId="6BE46AAA">
            <w:pPr>
              <w:tabs>
                <w:tab w:val="left" w:pos="567"/>
              </w:tabs>
              <w:snapToGrid/>
              <w:spacing w:line="240" w:lineRule="auto"/>
              <w:ind w:left="0" w:firstLine="0"/>
              <w:jc w:val="center"/>
              <w:rPr>
                <w:rFonts w:hint="eastAsia" w:ascii="宋体" w:hAnsi="宋体" w:eastAsia="宋体" w:cs="宋体"/>
                <w:sz w:val="24"/>
                <w:szCs w:val="24"/>
                <w:highlight w:val="none"/>
              </w:rPr>
            </w:pPr>
            <w:r>
              <w:rPr>
                <w:rFonts w:hint="eastAsia" w:ascii="宋体" w:hAnsi="宋体" w:eastAsia="宋体" w:cs="宋体"/>
                <w:sz w:val="24"/>
                <w:szCs w:val="24"/>
              </w:rPr>
              <w:t>与现有产品包装外观、材质一致</w:t>
            </w:r>
          </w:p>
        </w:tc>
      </w:tr>
      <w:tr w14:paraId="4DD49C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56" w:type="dxa"/>
            <w:left w:w="96" w:type="dxa"/>
            <w:bottom w:w="56" w:type="dxa"/>
            <w:right w:w="96" w:type="dxa"/>
          </w:tblCellMar>
        </w:tblPrEx>
        <w:trPr>
          <w:trHeight w:val="353" w:hRule="atLeast"/>
          <w:jc w:val="center"/>
        </w:trPr>
        <w:tc>
          <w:tcPr>
            <w:tcW w:w="9376" w:type="dxa"/>
            <w:gridSpan w:val="5"/>
            <w:noWrap w:val="0"/>
            <w:vAlign w:val="center"/>
          </w:tcPr>
          <w:p w14:paraId="3E921FF6">
            <w:pPr>
              <w:pStyle w:val="7"/>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p w14:paraId="18E38CF4">
            <w:pPr>
              <w:pStyle w:val="7"/>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投标人可通过中山大学孙逸仙纪念医院线下或者中山大学孙逸仙纪念医院互联网医院线上购买实物样品用作制作样品的参照品。</w:t>
            </w:r>
          </w:p>
        </w:tc>
      </w:tr>
    </w:tbl>
    <w:p w14:paraId="2AC29F7F">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3.</w:t>
      </w:r>
      <w:r>
        <w:rPr>
          <w:rFonts w:hint="eastAsia" w:ascii="宋体" w:hAnsi="宋体" w:eastAsia="宋体" w:cs="宋体"/>
          <w:szCs w:val="24"/>
          <w:highlight w:val="none"/>
        </w:rPr>
        <w:t>样品与投标文件分开，每个样品必须标识清楚。</w:t>
      </w:r>
    </w:p>
    <w:p w14:paraId="26BA072E">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4.</w:t>
      </w:r>
      <w:r>
        <w:rPr>
          <w:rFonts w:hint="eastAsia" w:ascii="宋体" w:hAnsi="宋体" w:eastAsia="宋体" w:cs="宋体"/>
          <w:szCs w:val="24"/>
          <w:highlight w:val="none"/>
        </w:rPr>
        <w:t>在采购任务完结之后，</w:t>
      </w:r>
      <w:r>
        <w:rPr>
          <w:rFonts w:hint="eastAsia" w:ascii="宋体" w:hAnsi="宋体" w:eastAsia="宋体" w:cs="宋体"/>
          <w:szCs w:val="24"/>
          <w:highlight w:val="none"/>
          <w:lang w:val="en-US" w:eastAsia="zh-CN"/>
        </w:rPr>
        <w:t>中标供应商</w:t>
      </w:r>
      <w:r>
        <w:rPr>
          <w:rFonts w:hint="eastAsia" w:ascii="宋体" w:hAnsi="宋体" w:eastAsia="宋体" w:cs="宋体"/>
          <w:szCs w:val="24"/>
          <w:highlight w:val="none"/>
        </w:rPr>
        <w:t>的样品封存于采购人单位，作为履约验收的参考。采购人及采购代理机构对投标人所递交样品的破损或质量不负任何责任。</w:t>
      </w:r>
    </w:p>
    <w:p w14:paraId="2B1F7CC6">
      <w:pPr>
        <w:autoSpaceDE w:val="0"/>
        <w:autoSpaceDN w:val="0"/>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未中标的</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应在本项目中标公告发布之日起3个工作日内自行至采购代理机构取回投标样品。3个工作日后</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不取回样品，则视为同意采购代理机构有权自行处置相关样品。</w:t>
      </w:r>
    </w:p>
    <w:p w14:paraId="5AC7637F">
      <w:pPr>
        <w:autoSpaceDE w:val="0"/>
        <w:autoSpaceDN w:val="0"/>
        <w:ind w:firstLine="480" w:firstLineChars="200"/>
        <w:rPr>
          <w:rFonts w:hint="eastAsia" w:ascii="宋体" w:hAnsi="宋体" w:cs="宋体"/>
          <w:szCs w:val="24"/>
          <w:highlight w:val="none"/>
          <w:lang w:val="en-US" w:eastAsia="zh-CN"/>
        </w:rPr>
      </w:pPr>
      <w:r>
        <w:rPr>
          <w:rFonts w:hint="eastAsia" w:ascii="宋体" w:hAnsi="宋体" w:cs="宋体"/>
          <w:szCs w:val="24"/>
          <w:highlight w:val="none"/>
          <w:lang w:val="en-US" w:eastAsia="zh-CN"/>
        </w:rPr>
        <w:t>5.实物图片示例：</w:t>
      </w:r>
      <w:bookmarkStart w:id="8" w:name="_GoBack"/>
      <w:bookmarkEnd w:id="8"/>
    </w:p>
    <w:p w14:paraId="4CDE375D">
      <w:pPr>
        <w:autoSpaceDE w:val="0"/>
        <w:autoSpaceDN w:val="0"/>
        <w:ind w:firstLine="480" w:firstLineChars="200"/>
        <w:rPr>
          <w:rFonts w:hint="eastAsia" w:ascii="宋体" w:hAnsi="宋体" w:eastAsia="宋体" w:cs="宋体"/>
          <w:szCs w:val="24"/>
          <w:highlight w:val="none"/>
          <w:lang w:val="en-US" w:eastAsia="zh-CN"/>
        </w:rPr>
      </w:pPr>
      <w:r>
        <w:rPr>
          <w:rFonts w:hint="eastAsia" w:ascii="宋体" w:hAnsi="宋体" w:eastAsia="宋体" w:cs="宋体"/>
          <w:sz w:val="24"/>
          <w:szCs w:val="24"/>
          <w:highlight w:val="none"/>
        </w:rPr>
        <w:t>清咽喉合剂</w:t>
      </w:r>
      <w:r>
        <w:rPr>
          <w:rFonts w:hint="eastAsia" w:ascii="宋体" w:hAnsi="宋体" w:eastAsia="宋体" w:cs="宋体"/>
          <w:sz w:val="24"/>
          <w:szCs w:val="24"/>
          <w:highlight w:val="none"/>
          <w:lang w:val="en-US" w:eastAsia="zh-CN"/>
        </w:rPr>
        <w:t>100</w:t>
      </w:r>
      <w:r>
        <w:rPr>
          <w:rFonts w:hint="eastAsia" w:ascii="宋体" w:hAnsi="宋体" w:eastAsia="宋体" w:cs="宋体"/>
          <w:sz w:val="24"/>
          <w:szCs w:val="24"/>
          <w:highlight w:val="none"/>
        </w:rPr>
        <w:t>ml</w:t>
      </w:r>
      <w:r>
        <w:rPr>
          <w:rFonts w:hint="eastAsia" w:ascii="宋体" w:hAnsi="宋体" w:eastAsia="宋体" w:cs="宋体"/>
          <w:sz w:val="24"/>
          <w:szCs w:val="24"/>
          <w:highlight w:val="none"/>
          <w:lang w:eastAsia="zh-CN"/>
        </w:rPr>
        <w:t>：</w:t>
      </w:r>
    </w:p>
    <w:p w14:paraId="7539F7F2">
      <w:pPr>
        <w:autoSpaceDE w:val="0"/>
        <w:autoSpaceDN w:val="0"/>
        <w:ind w:firstLine="480" w:firstLineChars="200"/>
        <w:jc w:val="center"/>
        <w:rPr>
          <w:rFonts w:hint="default" w:ascii="宋体" w:hAnsi="宋体" w:cs="宋体"/>
          <w:szCs w:val="24"/>
          <w:highlight w:val="none"/>
          <w:lang w:val="en-US" w:eastAsia="zh-CN"/>
        </w:rPr>
      </w:pPr>
      <w:r>
        <w:rPr>
          <w:rFonts w:hint="default" w:ascii="宋体" w:hAnsi="宋体" w:cs="宋体"/>
          <w:szCs w:val="24"/>
          <w:highlight w:val="none"/>
          <w:lang w:val="en-US" w:eastAsia="zh-CN"/>
        </w:rPr>
        <w:drawing>
          <wp:inline distT="0" distB="0" distL="114300" distR="114300">
            <wp:extent cx="2940050" cy="3718560"/>
            <wp:effectExtent l="0" t="0" r="12700" b="15240"/>
            <wp:docPr id="1" name="图片 1" descr="9cc6fd71243c4971b5490cb86086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cc6fd71243c4971b5490cb86086607"/>
                    <pic:cNvPicPr>
                      <a:picLocks noChangeAspect="1"/>
                    </pic:cNvPicPr>
                  </pic:nvPicPr>
                  <pic:blipFill>
                    <a:blip r:embed="rId6"/>
                    <a:srcRect t="12429" r="20994" b="12664"/>
                    <a:stretch>
                      <a:fillRect/>
                    </a:stretch>
                  </pic:blipFill>
                  <pic:spPr>
                    <a:xfrm>
                      <a:off x="0" y="0"/>
                      <a:ext cx="2940050" cy="3718560"/>
                    </a:xfrm>
                    <a:prstGeom prst="rect">
                      <a:avLst/>
                    </a:prstGeom>
                  </pic:spPr>
                </pic:pic>
              </a:graphicData>
            </a:graphic>
          </wp:inline>
        </w:drawing>
      </w:r>
    </w:p>
    <w:p w14:paraId="5AD48F83">
      <w:pPr>
        <w:autoSpaceDE w:val="0"/>
        <w:autoSpaceDN w:val="0"/>
        <w:ind w:firstLine="480" w:firstLineChars="200"/>
        <w:jc w:val="center"/>
        <w:rPr>
          <w:rFonts w:hint="default" w:ascii="宋体" w:hAnsi="宋体" w:cs="宋体"/>
          <w:szCs w:val="24"/>
          <w:highlight w:val="none"/>
          <w:lang w:val="en-US" w:eastAsia="zh-CN"/>
        </w:rPr>
      </w:pPr>
    </w:p>
    <w:p w14:paraId="3E5A4396">
      <w:pPr>
        <w:autoSpaceDE w:val="0"/>
        <w:autoSpaceDN w:val="0"/>
        <w:ind w:firstLine="480" w:firstLineChars="200"/>
        <w:jc w:val="left"/>
        <w:rPr>
          <w:rFonts w:hint="eastAsia" w:ascii="宋体" w:hAnsi="宋体" w:cs="宋体"/>
          <w:sz w:val="24"/>
          <w:szCs w:val="24"/>
          <w:highlight w:val="none"/>
          <w:lang w:val="en-US" w:eastAsia="zh-CN"/>
        </w:rPr>
      </w:pPr>
      <w:r>
        <w:rPr>
          <w:rFonts w:hint="eastAsia" w:ascii="宋体" w:hAnsi="宋体" w:eastAsia="宋体" w:cs="宋体"/>
          <w:sz w:val="24"/>
          <w:szCs w:val="24"/>
          <w:highlight w:val="none"/>
        </w:rPr>
        <w:t>清咽喉合剂</w:t>
      </w:r>
      <w:r>
        <w:rPr>
          <w:rFonts w:hint="eastAsia" w:ascii="宋体" w:hAnsi="宋体" w:eastAsia="宋体" w:cs="宋体"/>
          <w:sz w:val="24"/>
          <w:szCs w:val="24"/>
          <w:highlight w:val="none"/>
          <w:lang w:val="en-US" w:eastAsia="zh-CN"/>
        </w:rPr>
        <w:t>30ml</w:t>
      </w:r>
      <w:r>
        <w:rPr>
          <w:rFonts w:hint="eastAsia" w:ascii="宋体" w:hAnsi="宋体" w:cs="宋体"/>
          <w:sz w:val="24"/>
          <w:szCs w:val="24"/>
          <w:highlight w:val="none"/>
          <w:lang w:val="en-US" w:eastAsia="zh-CN"/>
        </w:rPr>
        <w:t>：</w:t>
      </w:r>
    </w:p>
    <w:p w14:paraId="397E9C00">
      <w:pPr>
        <w:autoSpaceDE w:val="0"/>
        <w:autoSpaceDN w:val="0"/>
        <w:ind w:firstLine="480" w:firstLineChars="200"/>
        <w:jc w:val="center"/>
        <w:rPr>
          <w:rFonts w:hint="default" w:ascii="宋体" w:hAnsi="宋体" w:cs="宋体"/>
          <w:sz w:val="24"/>
          <w:szCs w:val="24"/>
          <w:highlight w:val="none"/>
          <w:lang w:val="en-US" w:eastAsia="zh-CN"/>
        </w:rPr>
      </w:pPr>
      <w:r>
        <w:rPr>
          <w:rFonts w:hint="default" w:ascii="宋体" w:hAnsi="宋体" w:cs="宋体"/>
          <w:sz w:val="24"/>
          <w:szCs w:val="24"/>
          <w:highlight w:val="none"/>
          <w:lang w:val="en-US" w:eastAsia="zh-CN"/>
        </w:rPr>
        <w:drawing>
          <wp:inline distT="0" distB="0" distL="114300" distR="114300">
            <wp:extent cx="3601720" cy="3261995"/>
            <wp:effectExtent l="0" t="0" r="17780" b="14605"/>
            <wp:docPr id="2" name="图片 2" descr="014cbf2a53a06dfcf93b83f855bb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14cbf2a53a06dfcf93b83f855bb069"/>
                    <pic:cNvPicPr>
                      <a:picLocks noChangeAspect="1"/>
                    </pic:cNvPicPr>
                  </pic:nvPicPr>
                  <pic:blipFill>
                    <a:blip r:embed="rId7"/>
                    <a:srcRect l="24701" t="15171" r="14208" b="11036"/>
                    <a:stretch>
                      <a:fillRect/>
                    </a:stretch>
                  </pic:blipFill>
                  <pic:spPr>
                    <a:xfrm>
                      <a:off x="0" y="0"/>
                      <a:ext cx="3601720" cy="3261995"/>
                    </a:xfrm>
                    <a:prstGeom prst="rect">
                      <a:avLst/>
                    </a:prstGeom>
                  </pic:spPr>
                </pic:pic>
              </a:graphicData>
            </a:graphic>
          </wp:inline>
        </w:drawing>
      </w:r>
    </w:p>
    <w:p w14:paraId="067A098E">
      <w:pPr>
        <w:pStyle w:val="7"/>
        <w:rPr>
          <w:rFonts w:hint="eastAsia" w:ascii="宋体" w:hAnsi="宋体"/>
          <w:szCs w:val="24"/>
          <w:highlight w:val="none"/>
        </w:rPr>
      </w:pPr>
    </w:p>
    <w:p w14:paraId="7A22EB7B">
      <w:pPr>
        <w:pStyle w:val="7"/>
        <w:rPr>
          <w:rFonts w:hint="eastAsia" w:ascii="宋体" w:hAnsi="宋体"/>
          <w:szCs w:val="24"/>
          <w:highlight w:val="none"/>
        </w:rPr>
      </w:pPr>
    </w:p>
    <w:p w14:paraId="502A4EED">
      <w:pPr>
        <w:pStyle w:val="7"/>
        <w:keepNext w:val="0"/>
        <w:keepLines w:val="0"/>
        <w:pageBreakBefore w:val="0"/>
        <w:widowControl w:val="0"/>
        <w:kinsoku/>
        <w:wordWrap/>
        <w:overflowPunct/>
        <w:topLinePunct w:val="0"/>
        <w:autoSpaceDE/>
        <w:autoSpaceDN/>
        <w:bidi w:val="0"/>
        <w:adjustRightInd/>
        <w:snapToGrid w:val="0"/>
        <w:spacing w:before="0" w:after="0" w:line="360" w:lineRule="auto"/>
        <w:textAlignment w:val="auto"/>
        <w:outlineLvl w:val="2"/>
        <w:rPr>
          <w:rFonts w:hint="eastAsia" w:ascii="宋体" w:hAnsi="宋体" w:cs="宋体"/>
          <w:b/>
          <w:bCs w:val="0"/>
          <w:sz w:val="28"/>
          <w:szCs w:val="28"/>
          <w:highlight w:val="none"/>
          <w:lang w:val="en-US" w:eastAsia="zh-CN"/>
        </w:rPr>
      </w:pPr>
      <w:r>
        <w:rPr>
          <w:rFonts w:hint="eastAsia" w:ascii="宋体" w:hAnsi="宋体" w:cs="宋体"/>
          <w:b/>
          <w:bCs w:val="0"/>
          <w:sz w:val="28"/>
          <w:szCs w:val="28"/>
          <w:highlight w:val="none"/>
          <w:lang w:val="en-US" w:eastAsia="zh-CN"/>
        </w:rPr>
        <w:t>商务（服务）要求</w:t>
      </w:r>
    </w:p>
    <w:tbl>
      <w:tblPr>
        <w:tblStyle w:val="4"/>
        <w:tblW w:w="9086"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874"/>
        <w:gridCol w:w="7212"/>
      </w:tblGrid>
      <w:tr w14:paraId="5FF753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809" w:type="dxa"/>
            <w:noWrap w:val="0"/>
            <w:vAlign w:val="top"/>
          </w:tcPr>
          <w:p w14:paraId="734DC4E4">
            <w:pPr>
              <w:rPr>
                <w:rFonts w:hint="eastAsia" w:ascii="宋体" w:hAnsi="宋体" w:eastAsia="宋体" w:cs="宋体"/>
                <w:szCs w:val="24"/>
                <w:highlight w:val="none"/>
              </w:rPr>
            </w:pPr>
            <w:r>
              <w:rPr>
                <w:rFonts w:hint="eastAsia" w:ascii="宋体" w:hAnsi="宋体" w:eastAsia="宋体" w:cs="宋体"/>
                <w:szCs w:val="24"/>
                <w:highlight w:val="none"/>
              </w:rPr>
              <w:t>服务期</w:t>
            </w:r>
          </w:p>
        </w:tc>
        <w:tc>
          <w:tcPr>
            <w:tcW w:w="6964" w:type="dxa"/>
            <w:noWrap w:val="0"/>
            <w:vAlign w:val="top"/>
          </w:tcPr>
          <w:p w14:paraId="42BC9C97">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rPr>
              <w:t>自合同生效之日起</w:t>
            </w:r>
            <w:r>
              <w:rPr>
                <w:rFonts w:hint="eastAsia" w:ascii="宋体" w:hAnsi="宋体" w:eastAsia="宋体" w:cs="宋体"/>
                <w:szCs w:val="24"/>
                <w:highlight w:val="none"/>
                <w:lang w:val="en-US" w:eastAsia="zh-CN"/>
              </w:rPr>
              <w:t>3</w:t>
            </w:r>
            <w:r>
              <w:rPr>
                <w:rFonts w:hint="eastAsia" w:ascii="宋体" w:hAnsi="宋体" w:eastAsia="宋体" w:cs="宋体"/>
                <w:szCs w:val="24"/>
                <w:highlight w:val="none"/>
              </w:rPr>
              <w:t>年。</w:t>
            </w:r>
          </w:p>
        </w:tc>
      </w:tr>
      <w:tr w14:paraId="7578B9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809" w:type="dxa"/>
            <w:noWrap w:val="0"/>
            <w:vAlign w:val="top"/>
          </w:tcPr>
          <w:p w14:paraId="5ACDE0C6">
            <w:pPr>
              <w:rPr>
                <w:rFonts w:hint="eastAsia" w:ascii="宋体" w:hAnsi="宋体" w:eastAsia="宋体" w:cs="宋体"/>
                <w:szCs w:val="24"/>
                <w:highlight w:val="none"/>
              </w:rPr>
            </w:pPr>
            <w:r>
              <w:rPr>
                <w:rFonts w:hint="eastAsia" w:ascii="宋体" w:hAnsi="宋体" w:eastAsia="宋体" w:cs="宋体"/>
                <w:szCs w:val="24"/>
                <w:highlight w:val="none"/>
              </w:rPr>
              <w:t>报价要求</w:t>
            </w:r>
          </w:p>
        </w:tc>
        <w:tc>
          <w:tcPr>
            <w:tcW w:w="6964" w:type="dxa"/>
            <w:noWrap w:val="0"/>
            <w:vAlign w:val="top"/>
          </w:tcPr>
          <w:p w14:paraId="255DDA9A">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须对两</w:t>
            </w:r>
            <w:r>
              <w:rPr>
                <w:rFonts w:hint="eastAsia" w:ascii="宋体" w:hAnsi="宋体" w:eastAsia="宋体" w:cs="宋体"/>
                <w:szCs w:val="24"/>
                <w:highlight w:val="none"/>
                <w:lang w:val="en-US" w:eastAsia="zh-CN"/>
              </w:rPr>
              <w:t>个规格的清咽喉合剂</w:t>
            </w:r>
            <w:r>
              <w:rPr>
                <w:rFonts w:hint="eastAsia" w:ascii="宋体" w:hAnsi="宋体" w:eastAsia="宋体" w:cs="宋体"/>
                <w:szCs w:val="24"/>
                <w:highlight w:val="none"/>
              </w:rPr>
              <w:t>的加工费</w:t>
            </w:r>
            <w:r>
              <w:rPr>
                <w:rFonts w:hint="eastAsia" w:ascii="宋体" w:hAnsi="宋体" w:eastAsia="宋体" w:cs="宋体"/>
                <w:szCs w:val="24"/>
                <w:highlight w:val="none"/>
                <w:lang w:val="en-US" w:eastAsia="zh-CN"/>
              </w:rPr>
              <w:t>分包提供</w:t>
            </w:r>
            <w:r>
              <w:rPr>
                <w:rFonts w:hint="eastAsia" w:ascii="宋体" w:hAnsi="宋体" w:eastAsia="宋体" w:cs="宋体"/>
                <w:szCs w:val="24"/>
                <w:highlight w:val="none"/>
              </w:rPr>
              <w:t>单价报价，且</w:t>
            </w:r>
            <w:r>
              <w:rPr>
                <w:rFonts w:hint="eastAsia" w:ascii="宋体" w:hAnsi="宋体" w:eastAsia="宋体" w:cs="宋体"/>
                <w:szCs w:val="24"/>
                <w:highlight w:val="none"/>
                <w:lang w:val="en-US" w:eastAsia="zh-CN"/>
              </w:rPr>
              <w:t>均</w:t>
            </w:r>
            <w:r>
              <w:rPr>
                <w:rFonts w:hint="eastAsia" w:ascii="宋体" w:hAnsi="宋体" w:eastAsia="宋体" w:cs="宋体"/>
                <w:szCs w:val="24"/>
                <w:highlight w:val="none"/>
              </w:rPr>
              <w:t>不得超过</w:t>
            </w:r>
            <w:r>
              <w:rPr>
                <w:rFonts w:hint="eastAsia" w:ascii="宋体" w:hAnsi="宋体" w:eastAsia="宋体" w:cs="宋体"/>
                <w:szCs w:val="24"/>
                <w:highlight w:val="none"/>
                <w:lang w:val="en-US" w:eastAsia="zh-CN"/>
              </w:rPr>
              <w:t>对应的</w:t>
            </w:r>
            <w:r>
              <w:rPr>
                <w:rFonts w:hint="eastAsia" w:ascii="宋体" w:hAnsi="宋体" w:eastAsia="宋体" w:cs="宋体"/>
                <w:szCs w:val="24"/>
                <w:highlight w:val="none"/>
              </w:rPr>
              <w:t>加工费单价最高限价。投标报价为完成采购需求全部招标内容的含税价格（即包括但不限于各种人工费、税费、运输费、装卸费、培训费、计量及委托加工内容包含的原辅料、内外包装材料、标签及说明书的购买、生产检验、正式生产前的试生产费用、运输配送、质量标准提高及相关质量研究等所有流程的费用）。</w:t>
            </w:r>
          </w:p>
        </w:tc>
      </w:tr>
      <w:tr w14:paraId="62CBB0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809" w:type="dxa"/>
            <w:noWrap w:val="0"/>
            <w:vAlign w:val="top"/>
          </w:tcPr>
          <w:p w14:paraId="5ED50A64">
            <w:pPr>
              <w:rPr>
                <w:rFonts w:hint="eastAsia" w:ascii="宋体" w:hAnsi="宋体" w:eastAsia="宋体" w:cs="宋体"/>
                <w:szCs w:val="24"/>
                <w:highlight w:val="none"/>
              </w:rPr>
            </w:pPr>
            <w:r>
              <w:rPr>
                <w:rFonts w:hint="eastAsia" w:ascii="宋体" w:hAnsi="宋体" w:eastAsia="宋体" w:cs="宋体"/>
                <w:szCs w:val="24"/>
                <w:highlight w:val="none"/>
              </w:rPr>
              <w:t>付款方式</w:t>
            </w:r>
          </w:p>
        </w:tc>
        <w:tc>
          <w:tcPr>
            <w:tcW w:w="6964" w:type="dxa"/>
            <w:noWrap w:val="0"/>
            <w:vAlign w:val="top"/>
          </w:tcPr>
          <w:p w14:paraId="5B8B0A50">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rPr>
              <w:t>1.结算价=配送数量*中标单价</w:t>
            </w:r>
          </w:p>
          <w:p w14:paraId="7C29C6F8">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rPr>
              <w:t>2.结算方式：采购人在每发出一批生产计划后，</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按计划安排生产，该批产品45天内生产完成，经检验合格后发货并开具发票，采购人验收合格后30天内付清加工费。</w:t>
            </w:r>
          </w:p>
          <w:p w14:paraId="5AA0FA07">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rPr>
              <w:t>3.</w:t>
            </w:r>
            <w:r>
              <w:rPr>
                <w:rFonts w:hint="eastAsia" w:ascii="宋体" w:hAnsi="宋体" w:eastAsia="宋体" w:cs="宋体"/>
                <w:szCs w:val="24"/>
                <w:highlight w:val="none"/>
                <w:lang w:val="zh-CN"/>
              </w:rPr>
              <w:t>因财政国库资金支付程序不同于上述支付方式的，按最终用户与供应商协商后的实际支付方式为准。</w:t>
            </w:r>
          </w:p>
        </w:tc>
      </w:tr>
      <w:tr w14:paraId="50267D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jc w:val="center"/>
        </w:trPr>
        <w:tc>
          <w:tcPr>
            <w:tcW w:w="1809" w:type="dxa"/>
            <w:noWrap w:val="0"/>
            <w:vAlign w:val="top"/>
          </w:tcPr>
          <w:p w14:paraId="5DD2BBE4">
            <w:pPr>
              <w:rPr>
                <w:rFonts w:hint="eastAsia" w:ascii="宋体" w:hAnsi="宋体" w:eastAsia="宋体" w:cs="宋体"/>
                <w:szCs w:val="24"/>
                <w:highlight w:val="none"/>
              </w:rPr>
            </w:pPr>
            <w:r>
              <w:rPr>
                <w:rFonts w:hint="eastAsia" w:ascii="宋体" w:hAnsi="宋体" w:eastAsia="宋体" w:cs="宋体"/>
                <w:szCs w:val="24"/>
                <w:highlight w:val="none"/>
              </w:rPr>
              <w:t>履约保证金</w:t>
            </w:r>
          </w:p>
        </w:tc>
        <w:tc>
          <w:tcPr>
            <w:tcW w:w="6964" w:type="dxa"/>
            <w:noWrap w:val="0"/>
            <w:vAlign w:val="center"/>
          </w:tcPr>
          <w:p w14:paraId="4579F16E">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rPr>
              <w:t xml:space="preserve">1.提交说明 </w:t>
            </w:r>
          </w:p>
          <w:p w14:paraId="40780B6E">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rPr>
              <w:t>（1）时间：</w:t>
            </w:r>
            <w:r>
              <w:rPr>
                <w:rFonts w:hint="eastAsia" w:ascii="宋体" w:hAnsi="宋体" w:eastAsia="宋体" w:cs="宋体"/>
                <w:szCs w:val="24"/>
                <w:highlight w:val="none"/>
                <w:lang w:val="en-US" w:eastAsia="zh-CN"/>
              </w:rPr>
              <w:t>中标通知书发出后、</w:t>
            </w:r>
            <w:r>
              <w:rPr>
                <w:rFonts w:hint="eastAsia" w:ascii="宋体" w:hAnsi="宋体" w:eastAsia="宋体" w:cs="宋体"/>
                <w:szCs w:val="24"/>
                <w:highlight w:val="none"/>
              </w:rPr>
              <w:t xml:space="preserve">合同签订前； </w:t>
            </w:r>
          </w:p>
          <w:p w14:paraId="7F135BBF">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rPr>
              <w:t>（2）金额：</w:t>
            </w:r>
            <w:r>
              <w:rPr>
                <w:rFonts w:hint="eastAsia" w:ascii="宋体" w:hAnsi="宋体" w:eastAsia="宋体" w:cs="宋体"/>
                <w:szCs w:val="24"/>
                <w:highlight w:val="none"/>
                <w:lang w:val="en-US" w:eastAsia="zh-CN"/>
              </w:rPr>
              <w:t>贰拾</w:t>
            </w:r>
            <w:r>
              <w:rPr>
                <w:rFonts w:hint="eastAsia" w:ascii="宋体" w:hAnsi="宋体" w:eastAsia="宋体" w:cs="宋体"/>
                <w:szCs w:val="24"/>
                <w:highlight w:val="none"/>
              </w:rPr>
              <w:t xml:space="preserve">万元人民币； </w:t>
            </w:r>
          </w:p>
          <w:p w14:paraId="76035448">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rPr>
              <w:t xml:space="preserve">（3）方式：银行转账、汇款或国有银行出具的书面无条件保函；  </w:t>
            </w:r>
          </w:p>
          <w:p w14:paraId="7081414C">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rPr>
              <w:t xml:space="preserve">（4）保函有效期：覆盖合同履行全过程（含完成售后服务期内所需提供的服务内容）。  </w:t>
            </w:r>
          </w:p>
          <w:p w14:paraId="3B0F2F05">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rPr>
              <w:t>2.未按要求递交履约保证金责任</w:t>
            </w:r>
          </w:p>
          <w:p w14:paraId="15F3862F">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rPr>
              <w:t>（1）</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如未按要求递交履约保证金的，采购人有权终止合同签署，并取消</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中标资格。</w:t>
            </w:r>
          </w:p>
          <w:p w14:paraId="7BA7BECA">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rPr>
              <w:t xml:space="preserve">3.退还说明： </w:t>
            </w:r>
          </w:p>
          <w:p w14:paraId="24B18452">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rPr>
              <w:t>（1）时间、方式和条件：本合同履行期间</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无违约行为，</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履行完成合同约定的所有事项后，向采购人提出申请退还履约保证金，采购人在30日内向中标人退还履约保证金(履约保证金不计利息)。</w:t>
            </w:r>
          </w:p>
          <w:p w14:paraId="1E9EA2FA">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rPr>
              <w:t>（2）违约责任：采购人逾期退还履约保证金的，除应当退还履约保证金本金外，还应当每日按履约保证金金额的1‰向</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偿付违约金，但因</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自身原因导致无法及时退还的除外。</w:t>
            </w:r>
          </w:p>
          <w:p w14:paraId="2B7AE0C2">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rPr>
              <w:t>（3）采购人有权直接从履约保证金扣除中标人应当向采购人承担的违约金、赔偿金等相关费用。如在合同执行期间因中标人违约导致履约保证金部分扣除，</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需在7日内将扣除的履约保证金补齐。</w:t>
            </w:r>
          </w:p>
          <w:p w14:paraId="10FB7921">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rPr>
              <w:t>4.不予退还的情形：</w:t>
            </w:r>
          </w:p>
          <w:p w14:paraId="04893D9E">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rPr>
              <w:t>（1）未经采购人同意，</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将本项目进行分包或转包给他人；</w:t>
            </w:r>
          </w:p>
          <w:p w14:paraId="4C11A203">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rPr>
              <w:t>（2）在履行合同期间，</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未经采购人同意提前终止本项目合同；</w:t>
            </w:r>
          </w:p>
          <w:p w14:paraId="3C4C0C42">
            <w:pPr>
              <w:rPr>
                <w:rFonts w:hint="eastAsia" w:ascii="宋体" w:hAnsi="宋体" w:eastAsia="宋体" w:cs="宋体"/>
                <w:szCs w:val="24"/>
                <w:highlight w:val="none"/>
              </w:rPr>
            </w:pPr>
            <w:r>
              <w:rPr>
                <w:rFonts w:hint="eastAsia" w:ascii="宋体" w:hAnsi="宋体" w:eastAsia="宋体" w:cs="宋体"/>
                <w:szCs w:val="24"/>
                <w:highlight w:val="none"/>
              </w:rPr>
              <w:t>（3）在履行合同期间，</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因在经营活动中存在违法被吊销营业执照或相关许可，导致本项目合同无法继续履行的。</w:t>
            </w:r>
          </w:p>
        </w:tc>
      </w:tr>
      <w:tr w14:paraId="3B7A43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4" w:hRule="atLeast"/>
          <w:jc w:val="center"/>
        </w:trPr>
        <w:tc>
          <w:tcPr>
            <w:tcW w:w="1809" w:type="dxa"/>
            <w:noWrap w:val="0"/>
            <w:vAlign w:val="top"/>
          </w:tcPr>
          <w:p w14:paraId="744918B8">
            <w:pPr>
              <w:rPr>
                <w:rFonts w:hint="eastAsia" w:ascii="宋体" w:hAnsi="宋体" w:eastAsia="宋体" w:cs="宋体"/>
                <w:szCs w:val="24"/>
                <w:highlight w:val="none"/>
              </w:rPr>
            </w:pPr>
            <w:r>
              <w:rPr>
                <w:rFonts w:hint="eastAsia" w:ascii="宋体" w:hAnsi="宋体" w:eastAsia="宋体" w:cs="宋体"/>
                <w:szCs w:val="24"/>
                <w:highlight w:val="none"/>
              </w:rPr>
              <w:t>关于知识产权</w:t>
            </w:r>
          </w:p>
        </w:tc>
        <w:tc>
          <w:tcPr>
            <w:tcW w:w="6964" w:type="dxa"/>
            <w:noWrap w:val="0"/>
            <w:vAlign w:val="top"/>
          </w:tcPr>
          <w:p w14:paraId="1DB266C3">
            <w:pPr>
              <w:pStyle w:val="7"/>
              <w:rPr>
                <w:rFonts w:hint="eastAsia" w:ascii="宋体" w:hAnsi="宋体" w:eastAsia="宋体" w:cs="宋体"/>
                <w:kern w:val="0"/>
                <w:szCs w:val="24"/>
                <w:highlight w:val="none"/>
              </w:rPr>
            </w:pPr>
            <w:r>
              <w:rPr>
                <w:rFonts w:hint="eastAsia" w:ascii="宋体" w:hAnsi="宋体" w:eastAsia="宋体" w:cs="宋体"/>
                <w:kern w:val="0"/>
                <w:szCs w:val="24"/>
                <w:highlight w:val="none"/>
              </w:rPr>
              <w:t>供应商应保证采购人在使用货物或服务或其任何一部分时，免受第三方提出的侵犯其专利权、商标权、著作权或其它知识产权的起诉或司法干预。如果发生上述起诉或干预，供应商应提供相关知识产权及专利证明，其法律责任均由供应商负责。所发生的任何知识产权纠纷与采购人无关。</w:t>
            </w:r>
          </w:p>
        </w:tc>
      </w:tr>
      <w:tr w14:paraId="740DEC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14" w:hRule="atLeast"/>
          <w:jc w:val="center"/>
        </w:trPr>
        <w:tc>
          <w:tcPr>
            <w:tcW w:w="1809" w:type="dxa"/>
            <w:noWrap w:val="0"/>
            <w:vAlign w:val="top"/>
          </w:tcPr>
          <w:p w14:paraId="1B21F239">
            <w:pPr>
              <w:rPr>
                <w:rFonts w:hint="eastAsia" w:ascii="宋体" w:hAnsi="宋体" w:eastAsia="宋体" w:cs="宋体"/>
                <w:szCs w:val="24"/>
                <w:highlight w:val="none"/>
              </w:rPr>
            </w:pPr>
            <w:r>
              <w:rPr>
                <w:rFonts w:hint="eastAsia" w:ascii="宋体" w:hAnsi="宋体" w:eastAsia="宋体" w:cs="宋体"/>
                <w:szCs w:val="24"/>
                <w:highlight w:val="none"/>
              </w:rPr>
              <w:t>其他</w:t>
            </w:r>
          </w:p>
        </w:tc>
        <w:tc>
          <w:tcPr>
            <w:tcW w:w="6964" w:type="dxa"/>
            <w:noWrap w:val="0"/>
            <w:vAlign w:val="top"/>
          </w:tcPr>
          <w:p w14:paraId="7E886452">
            <w:pPr>
              <w:wordWrap/>
              <w:adjustRightInd w:val="0"/>
              <w:snapToGrid w:val="0"/>
              <w:spacing w:line="360" w:lineRule="exact"/>
              <w:jc w:val="left"/>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1.供应商应具有同类型项目业绩及客户的满意评价，以证明有足够的履约经验。</w:t>
            </w:r>
          </w:p>
          <w:p w14:paraId="298D39EA">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lang w:val="en-US" w:eastAsia="zh-CN"/>
              </w:rPr>
              <w:t>2.合同文本的主要条款属于采购人单位的固定格式，供应商应当完全接受所有条款。</w:t>
            </w:r>
          </w:p>
          <w:p w14:paraId="623836E7">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lang w:val="en-US" w:eastAsia="zh-CN"/>
              </w:rPr>
              <w:t>3.</w:t>
            </w:r>
            <w:r>
              <w:rPr>
                <w:rFonts w:hint="eastAsia" w:ascii="宋体" w:hAnsi="宋体" w:eastAsia="宋体" w:cs="宋体"/>
                <w:szCs w:val="24"/>
                <w:highlight w:val="none"/>
              </w:rPr>
              <w:t>技术服务费：采购人委派技术人员对</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整个委托配制生产进行技术指导及过程的质量监控，</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向采购人支付技术服务费，技术服务费按加工费总额的6%计，技术服务费按一年一付结清，由</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单独支付给采购人。（</w:t>
            </w:r>
            <w:r>
              <w:rPr>
                <w:rFonts w:hint="eastAsia" w:ascii="宋体" w:hAnsi="宋体" w:eastAsia="宋体" w:cs="宋体"/>
                <w:szCs w:val="24"/>
                <w:highlight w:val="none"/>
                <w:lang w:val="en-US" w:eastAsia="zh-CN"/>
              </w:rPr>
              <w:t>投标文件提供承诺函，格式自拟</w:t>
            </w:r>
            <w:r>
              <w:rPr>
                <w:rFonts w:hint="eastAsia" w:ascii="宋体" w:hAnsi="宋体" w:eastAsia="宋体" w:cs="宋体"/>
                <w:szCs w:val="24"/>
                <w:highlight w:val="none"/>
              </w:rPr>
              <w:t xml:space="preserve">） </w:t>
            </w:r>
          </w:p>
          <w:p w14:paraId="15233F06">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lang w:val="en-US" w:eastAsia="zh-CN"/>
              </w:rPr>
              <w:t>4.</w:t>
            </w:r>
            <w:r>
              <w:rPr>
                <w:rFonts w:hint="eastAsia" w:ascii="宋体" w:hAnsi="宋体" w:eastAsia="宋体" w:cs="宋体"/>
                <w:szCs w:val="24"/>
                <w:highlight w:val="none"/>
              </w:rPr>
              <w:t>合作期限内，采购人能够在院内开展</w:t>
            </w:r>
            <w:r>
              <w:rPr>
                <w:rFonts w:hint="eastAsia" w:ascii="宋体" w:hAnsi="宋体" w:eastAsia="宋体" w:cs="宋体"/>
                <w:szCs w:val="24"/>
                <w:highlight w:val="none"/>
                <w:lang w:val="en-US" w:eastAsia="zh-CN"/>
              </w:rPr>
              <w:t>清咽喉合剂</w:t>
            </w:r>
            <w:r>
              <w:rPr>
                <w:rFonts w:hint="eastAsia" w:ascii="宋体" w:hAnsi="宋体" w:eastAsia="宋体" w:cs="宋体"/>
                <w:szCs w:val="24"/>
                <w:highlight w:val="none"/>
              </w:rPr>
              <w:t>的生产时，本文件的委托可提前终止，采购人不承担任何的违约责任。（</w:t>
            </w:r>
            <w:r>
              <w:rPr>
                <w:rFonts w:hint="eastAsia" w:ascii="宋体" w:hAnsi="宋体" w:eastAsia="宋体" w:cs="宋体"/>
                <w:szCs w:val="24"/>
                <w:highlight w:val="none"/>
                <w:lang w:val="en-US" w:eastAsia="zh-CN"/>
              </w:rPr>
              <w:t>投标文件提供承诺函，格式自拟</w:t>
            </w:r>
            <w:r>
              <w:rPr>
                <w:rFonts w:hint="eastAsia" w:ascii="宋体" w:hAnsi="宋体" w:eastAsia="宋体" w:cs="宋体"/>
                <w:szCs w:val="24"/>
                <w:highlight w:val="none"/>
              </w:rPr>
              <w:t>）</w:t>
            </w:r>
          </w:p>
          <w:p w14:paraId="3A745168">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lang w:val="en-US" w:eastAsia="zh-CN"/>
              </w:rPr>
              <w:t>5.供应商</w:t>
            </w:r>
            <w:r>
              <w:rPr>
                <w:rFonts w:hint="eastAsia" w:ascii="宋体" w:hAnsi="宋体" w:eastAsia="宋体" w:cs="宋体"/>
                <w:szCs w:val="24"/>
                <w:highlight w:val="none"/>
              </w:rPr>
              <w:t>须为本项目配置专业服务团队，并配有专门的配送专员负责跟进货物服务、货物售后服务等服务，所有服务人员均应当经过培训，如相关岗位有特定作业资格要求的，该岗位服务人员需获得相应作业资质。</w:t>
            </w:r>
          </w:p>
          <w:p w14:paraId="78FA2EEC">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lang w:val="en-US" w:eastAsia="zh-CN"/>
              </w:rPr>
              <w:t>6.供应商</w:t>
            </w:r>
            <w:r>
              <w:rPr>
                <w:rFonts w:hint="eastAsia" w:ascii="宋体" w:hAnsi="宋体" w:eastAsia="宋体" w:cs="宋体"/>
                <w:szCs w:val="24"/>
                <w:highlight w:val="none"/>
              </w:rPr>
              <w:t>须在投标文件中，针对加工产品涉及的原药材来源、库存情况、临时调货能力提供对应的情况介绍，结合采购人单位特点，针对性拟定保障方案，确保项目实施过程中对于原料的需求可以得到满足。同时，供应商应当承担原料供应商管理和原料的质量保证工作，应当按照法律法规要求建立原料收货、检验、留样、放行、储存的相关程序，并按照程序对原料进行接收、检验、留样、放行、储存等。</w:t>
            </w:r>
          </w:p>
          <w:p w14:paraId="02DF0C10">
            <w:pPr>
              <w:wordWrap/>
              <w:adjustRightInd w:val="0"/>
              <w:snapToGrid w:val="0"/>
              <w:spacing w:line="360" w:lineRule="exact"/>
              <w:jc w:val="left"/>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7.供应商需在收到采购人紧急配送时，在4小时响应配送，并对合同履行期间可能发生的应急事件进行预测并拟定应对措施，包括但不限于制作过程中可能产生的应急事件、因自然环境因素变化产生的应急事件、因发生疫情产生的应急事件、产品验收或使用过程中产生的应急事件以及节假日供货要求等。供应商须对这些应急事件拟定应对措施，充分保障应急事件发生时不会对采购人服务需求和合同履约产生影响。</w:t>
            </w:r>
          </w:p>
          <w:p w14:paraId="570EBFA0">
            <w:pPr>
              <w:wordWrap/>
              <w:adjustRightInd w:val="0"/>
              <w:snapToGrid w:val="0"/>
              <w:spacing w:line="360" w:lineRule="exact"/>
              <w:jc w:val="left"/>
              <w:rPr>
                <w:rFonts w:hint="eastAsia" w:ascii="宋体" w:hAnsi="宋体" w:eastAsia="宋体" w:cs="宋体"/>
                <w:szCs w:val="24"/>
                <w:highlight w:val="none"/>
              </w:rPr>
            </w:pPr>
            <w:r>
              <w:rPr>
                <w:rFonts w:hint="eastAsia" w:ascii="宋体" w:hAnsi="宋体" w:eastAsia="宋体" w:cs="宋体"/>
                <w:szCs w:val="24"/>
                <w:highlight w:val="none"/>
                <w:lang w:val="en-US" w:eastAsia="zh-CN"/>
              </w:rPr>
              <w:t>8.供应商应当做好售后服务保障，有完善的售后服务管理制度，并能够针对本项目特点拟定售后服务方案和具体的服务措施。指定专人负责协助处理售后服务问题，有24小时售后服务专线，服务流程便捷、高效，及时、快速的处理售后相关问题。</w:t>
            </w:r>
          </w:p>
        </w:tc>
      </w:tr>
      <w:tr w14:paraId="1D7BD6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809" w:type="dxa"/>
            <w:noWrap w:val="0"/>
            <w:vAlign w:val="top"/>
          </w:tcPr>
          <w:p w14:paraId="2816CE00">
            <w:pPr>
              <w:rPr>
                <w:rFonts w:hint="eastAsia" w:ascii="宋体" w:hAnsi="宋体" w:eastAsia="宋体" w:cs="宋体"/>
                <w:szCs w:val="24"/>
                <w:highlight w:val="none"/>
              </w:rPr>
            </w:pPr>
            <w:r>
              <w:rPr>
                <w:rFonts w:hint="eastAsia" w:ascii="宋体" w:hAnsi="宋体" w:eastAsia="宋体" w:cs="宋体"/>
                <w:szCs w:val="24"/>
                <w:highlight w:val="none"/>
              </w:rPr>
              <w:t>验收要求</w:t>
            </w:r>
          </w:p>
        </w:tc>
        <w:tc>
          <w:tcPr>
            <w:tcW w:w="6964" w:type="dxa"/>
            <w:noWrap w:val="0"/>
            <w:vAlign w:val="top"/>
          </w:tcPr>
          <w:p w14:paraId="5C105C56">
            <w:pPr>
              <w:wordWrap/>
              <w:adjustRightInd/>
              <w:snapToGrid/>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1.货物应附有送货清单和药品质检合格报告，</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负责运输产品到采购人指定的成品库，交货时，数量和包装规格必须与采购人下单时一致（提供装箱清单），同时还应提供本批次产品的所有原辅料的检验报告（复印件加盖</w:t>
            </w:r>
            <w:r>
              <w:rPr>
                <w:rFonts w:hint="eastAsia" w:ascii="宋体" w:hAnsi="宋体" w:eastAsia="宋体" w:cs="宋体"/>
                <w:szCs w:val="24"/>
                <w:highlight w:val="none"/>
                <w:lang w:val="en-US" w:eastAsia="zh-CN"/>
              </w:rPr>
              <w:t>公章</w:t>
            </w:r>
            <w:r>
              <w:rPr>
                <w:rFonts w:hint="eastAsia" w:ascii="宋体" w:hAnsi="宋体" w:eastAsia="宋体" w:cs="宋体"/>
                <w:szCs w:val="24"/>
                <w:highlight w:val="none"/>
              </w:rPr>
              <w:t>）、批生产记录（复印件加</w:t>
            </w:r>
            <w:r>
              <w:rPr>
                <w:rFonts w:hint="eastAsia" w:ascii="宋体" w:hAnsi="宋体" w:eastAsia="宋体" w:cs="宋体"/>
                <w:szCs w:val="24"/>
                <w:highlight w:val="none"/>
                <w:lang w:val="en-US" w:eastAsia="zh-CN"/>
              </w:rPr>
              <w:t>公章</w:t>
            </w:r>
            <w:r>
              <w:rPr>
                <w:rFonts w:hint="eastAsia" w:ascii="宋体" w:hAnsi="宋体" w:eastAsia="宋体" w:cs="宋体"/>
                <w:szCs w:val="24"/>
                <w:highlight w:val="none"/>
              </w:rPr>
              <w:t>）、成品检验报告书原件（加盖</w:t>
            </w:r>
            <w:r>
              <w:rPr>
                <w:rFonts w:hint="eastAsia" w:ascii="宋体" w:hAnsi="宋体" w:eastAsia="宋体" w:cs="宋体"/>
                <w:szCs w:val="24"/>
                <w:highlight w:val="none"/>
                <w:lang w:val="en-US" w:eastAsia="zh-CN"/>
              </w:rPr>
              <w:t>公章</w:t>
            </w:r>
            <w:r>
              <w:rPr>
                <w:rFonts w:hint="eastAsia" w:ascii="宋体" w:hAnsi="宋体" w:eastAsia="宋体" w:cs="宋体"/>
                <w:szCs w:val="24"/>
                <w:highlight w:val="none"/>
              </w:rPr>
              <w:t>）、检验原始记录、送货单等。</w:t>
            </w:r>
          </w:p>
          <w:p w14:paraId="4FA22CCD">
            <w:pPr>
              <w:wordWrap/>
              <w:adjustRightInd/>
              <w:snapToGrid/>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2.货物清单应有药品名称、规格、数量、批号等基本信息，质检报告内容、送货清单内容应与货物包装信息一致。</w:t>
            </w:r>
          </w:p>
          <w:p w14:paraId="5822ADAF">
            <w:pPr>
              <w:wordWrap/>
              <w:adjustRightInd/>
              <w:snapToGrid/>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3.货物外包装应包装完好，无受损、受潮、发霉、污染等影响货物质量的情况。凡由于包装不良造成的损失均由</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 xml:space="preserve">承担。 </w:t>
            </w:r>
          </w:p>
          <w:p w14:paraId="618FA08E">
            <w:pPr>
              <w:wordWrap/>
              <w:adjustRightInd/>
              <w:snapToGrid/>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4.</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 xml:space="preserve">负责产品运到采购人指定成品库的全部运输过程，包括装卸车、货物现场的搬运。 </w:t>
            </w:r>
          </w:p>
          <w:p w14:paraId="692E5137">
            <w:pPr>
              <w:wordWrap/>
              <w:adjustRightInd/>
              <w:snapToGrid/>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5.运输过程中所产生的费用均由</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负责。</w:t>
            </w:r>
          </w:p>
          <w:p w14:paraId="0B27DE17">
            <w:pPr>
              <w:wordWrap/>
              <w:adjustRightInd/>
              <w:snapToGrid/>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6.产品有效期：保证送货产品自验收合格之日起算，剩余保质期不得短于整个保质期的70%，出现破损、吸潮、结块等质量异常情况</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及时进行退换。（投标人出具承诺函）</w:t>
            </w:r>
          </w:p>
        </w:tc>
      </w:tr>
      <w:tr w14:paraId="0AA739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1809" w:type="dxa"/>
            <w:noWrap w:val="0"/>
            <w:vAlign w:val="top"/>
          </w:tcPr>
          <w:p w14:paraId="7483352F">
            <w:pPr>
              <w:rPr>
                <w:rFonts w:hint="default" w:ascii="宋体" w:hAnsi="宋体" w:eastAsia="宋体" w:cs="宋体"/>
                <w:szCs w:val="24"/>
                <w:highlight w:val="none"/>
                <w:lang w:val="en-US" w:eastAsia="zh-CN"/>
              </w:rPr>
            </w:pPr>
            <w:r>
              <w:rPr>
                <w:rFonts w:hint="eastAsia" w:ascii="宋体" w:hAnsi="宋体" w:eastAsia="宋体" w:cs="宋体"/>
                <w:szCs w:val="24"/>
                <w:highlight w:val="none"/>
                <w:lang w:val="en-US" w:eastAsia="zh-CN"/>
              </w:rPr>
              <w:t>违约责任</w:t>
            </w:r>
          </w:p>
        </w:tc>
        <w:tc>
          <w:tcPr>
            <w:tcW w:w="6964" w:type="dxa"/>
            <w:noWrap w:val="0"/>
            <w:vAlign w:val="top"/>
          </w:tcPr>
          <w:p w14:paraId="579F0FC2">
            <w:pPr>
              <w:wordWrap/>
              <w:adjustRightInd/>
              <w:snapToGrid/>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 xml:space="preserve"> 1.</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的违约责任：</w:t>
            </w:r>
          </w:p>
          <w:p w14:paraId="38E97A59">
            <w:pPr>
              <w:wordWrap/>
              <w:adjustRightInd/>
              <w:snapToGrid/>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（1）</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逾期交货超过2天，</w:t>
            </w:r>
            <w:r>
              <w:rPr>
                <w:rFonts w:hint="eastAsia" w:ascii="宋体" w:hAnsi="宋体" w:eastAsia="宋体" w:cs="宋体"/>
                <w:szCs w:val="24"/>
                <w:highlight w:val="none"/>
                <w:lang w:val="en-US" w:eastAsia="zh-CN"/>
              </w:rPr>
              <w:t>采购人</w:t>
            </w:r>
            <w:r>
              <w:rPr>
                <w:rFonts w:hint="eastAsia" w:ascii="宋体" w:hAnsi="宋体" w:eastAsia="宋体" w:cs="宋体"/>
                <w:szCs w:val="24"/>
                <w:highlight w:val="none"/>
              </w:rPr>
              <w:t>有权视其违约，有权解除合同，并要求</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按照每日相当于当批货物货款5%的金额支付违约金，并承担</w:t>
            </w:r>
            <w:r>
              <w:rPr>
                <w:rFonts w:hint="eastAsia" w:ascii="宋体" w:hAnsi="宋体" w:eastAsia="宋体" w:cs="宋体"/>
                <w:szCs w:val="24"/>
                <w:highlight w:val="none"/>
                <w:lang w:val="en-US" w:eastAsia="zh-CN"/>
              </w:rPr>
              <w:t>采购人</w:t>
            </w:r>
            <w:r>
              <w:rPr>
                <w:rFonts w:hint="eastAsia" w:ascii="宋体" w:hAnsi="宋体" w:eastAsia="宋体" w:cs="宋体"/>
                <w:szCs w:val="24"/>
                <w:highlight w:val="none"/>
              </w:rPr>
              <w:t>因此所受的损失费用。</w:t>
            </w:r>
          </w:p>
          <w:p w14:paraId="306D4DF5">
            <w:pPr>
              <w:wordWrap/>
              <w:adjustRightInd/>
              <w:snapToGrid/>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（2）</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所交物品品种、数量、规格、质量不符合国家法律法规和合同规定的，</w:t>
            </w:r>
            <w:r>
              <w:rPr>
                <w:rFonts w:hint="eastAsia" w:ascii="宋体" w:hAnsi="宋体" w:eastAsia="宋体" w:cs="宋体"/>
                <w:szCs w:val="24"/>
                <w:highlight w:val="none"/>
                <w:lang w:val="en-US" w:eastAsia="zh-CN"/>
              </w:rPr>
              <w:t>采购人</w:t>
            </w:r>
            <w:r>
              <w:rPr>
                <w:rFonts w:hint="eastAsia" w:ascii="宋体" w:hAnsi="宋体" w:eastAsia="宋体" w:cs="宋体"/>
                <w:szCs w:val="24"/>
                <w:highlight w:val="none"/>
              </w:rPr>
              <w:t>有权要求</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承担十倍相当于该货物的款项的赔偿，且</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须按照</w:t>
            </w:r>
            <w:r>
              <w:rPr>
                <w:rFonts w:hint="eastAsia" w:ascii="宋体" w:hAnsi="宋体" w:eastAsia="宋体" w:cs="宋体"/>
                <w:szCs w:val="24"/>
                <w:highlight w:val="none"/>
                <w:lang w:val="en-US" w:eastAsia="zh-CN"/>
              </w:rPr>
              <w:t>采购人</w:t>
            </w:r>
            <w:r>
              <w:rPr>
                <w:rFonts w:hint="eastAsia" w:ascii="宋体" w:hAnsi="宋体" w:eastAsia="宋体" w:cs="宋体"/>
                <w:szCs w:val="24"/>
                <w:highlight w:val="none"/>
              </w:rPr>
              <w:t>的要求承担包修、包换或者退货的义务，由此产生的实际费用由</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 xml:space="preserve">承担。 </w:t>
            </w:r>
          </w:p>
          <w:p w14:paraId="26DA01D1">
            <w:pPr>
              <w:wordWrap/>
              <w:adjustRightInd/>
              <w:snapToGrid/>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（4）</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如逾期交货、交货质量存在问题累计发生5次，</w:t>
            </w:r>
            <w:r>
              <w:rPr>
                <w:rFonts w:hint="eastAsia" w:ascii="宋体" w:hAnsi="宋体" w:eastAsia="宋体" w:cs="宋体"/>
                <w:szCs w:val="24"/>
                <w:highlight w:val="none"/>
                <w:lang w:val="en-US" w:eastAsia="zh-CN"/>
              </w:rPr>
              <w:t>采购人</w:t>
            </w:r>
            <w:r>
              <w:rPr>
                <w:rFonts w:hint="eastAsia" w:ascii="宋体" w:hAnsi="宋体" w:eastAsia="宋体" w:cs="宋体"/>
                <w:szCs w:val="24"/>
                <w:highlight w:val="none"/>
              </w:rPr>
              <w:t>有权视其违约，并解除合同。</w:t>
            </w:r>
          </w:p>
          <w:p w14:paraId="3C6DA6D5">
            <w:pPr>
              <w:wordWrap/>
              <w:adjustRightInd/>
              <w:snapToGrid/>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（5）如</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在合同期限内出现违法、违规或违反合同和承诺的行为，经采购人核查属实的，采购人有权单方面终止合同且不构成违约，同时依法依规向</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提出索偿。</w:t>
            </w:r>
          </w:p>
          <w:p w14:paraId="1E061245">
            <w:pPr>
              <w:wordWrap/>
              <w:adjustRightInd/>
              <w:snapToGrid/>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2.</w:t>
            </w:r>
            <w:r>
              <w:rPr>
                <w:rFonts w:hint="eastAsia" w:ascii="宋体" w:hAnsi="宋体" w:eastAsia="宋体" w:cs="宋体"/>
                <w:szCs w:val="24"/>
                <w:highlight w:val="none"/>
                <w:lang w:val="en-US" w:eastAsia="zh-CN"/>
              </w:rPr>
              <w:t>采购人</w:t>
            </w:r>
            <w:r>
              <w:rPr>
                <w:rFonts w:hint="eastAsia" w:ascii="宋体" w:hAnsi="宋体" w:eastAsia="宋体" w:cs="宋体"/>
                <w:szCs w:val="24"/>
                <w:highlight w:val="none"/>
              </w:rPr>
              <w:t>的违约责任</w:t>
            </w:r>
          </w:p>
          <w:p w14:paraId="032A40FA">
            <w:pPr>
              <w:wordWrap/>
              <w:adjustRightInd/>
              <w:snapToGrid/>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（1）</w:t>
            </w:r>
            <w:r>
              <w:rPr>
                <w:rFonts w:hint="eastAsia" w:ascii="宋体" w:hAnsi="宋体" w:eastAsia="宋体" w:cs="宋体"/>
                <w:szCs w:val="24"/>
                <w:highlight w:val="none"/>
                <w:lang w:val="en-US" w:eastAsia="zh-CN"/>
              </w:rPr>
              <w:t>采购人</w:t>
            </w:r>
            <w:r>
              <w:rPr>
                <w:rFonts w:hint="eastAsia" w:ascii="宋体" w:hAnsi="宋体" w:eastAsia="宋体" w:cs="宋体"/>
                <w:szCs w:val="24"/>
                <w:highlight w:val="none"/>
              </w:rPr>
              <w:t>逾期付款的，应按照每日千分之一的比例向</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偿付逾期付款的违约金；</w:t>
            </w:r>
          </w:p>
          <w:p w14:paraId="373773CC">
            <w:pPr>
              <w:wordWrap/>
              <w:adjustRightInd/>
              <w:snapToGrid/>
              <w:spacing w:line="360" w:lineRule="auto"/>
              <w:jc w:val="left"/>
              <w:rPr>
                <w:rFonts w:hint="eastAsia" w:ascii="宋体" w:hAnsi="宋体" w:eastAsia="宋体" w:cs="宋体"/>
                <w:szCs w:val="24"/>
                <w:highlight w:val="none"/>
              </w:rPr>
            </w:pPr>
            <w:r>
              <w:rPr>
                <w:rFonts w:hint="eastAsia" w:ascii="宋体" w:hAnsi="宋体" w:eastAsia="宋体" w:cs="宋体"/>
                <w:szCs w:val="24"/>
                <w:highlight w:val="none"/>
              </w:rPr>
              <w:t>（2）</w:t>
            </w:r>
            <w:r>
              <w:rPr>
                <w:rFonts w:hint="eastAsia" w:ascii="宋体" w:hAnsi="宋体" w:eastAsia="宋体" w:cs="宋体"/>
                <w:szCs w:val="24"/>
                <w:highlight w:val="none"/>
                <w:lang w:val="en-US" w:eastAsia="zh-CN"/>
              </w:rPr>
              <w:t>采购人</w:t>
            </w:r>
            <w:r>
              <w:rPr>
                <w:rFonts w:hint="eastAsia" w:ascii="宋体" w:hAnsi="宋体" w:eastAsia="宋体" w:cs="宋体"/>
                <w:szCs w:val="24"/>
                <w:highlight w:val="none"/>
              </w:rPr>
              <w:t>违反合同规定拒绝接货的，应当承担由此对</w:t>
            </w:r>
            <w:r>
              <w:rPr>
                <w:rFonts w:hint="eastAsia" w:ascii="宋体" w:hAnsi="宋体" w:eastAsia="宋体" w:cs="宋体"/>
                <w:szCs w:val="24"/>
                <w:highlight w:val="none"/>
                <w:lang w:val="en-US" w:eastAsia="zh-CN"/>
              </w:rPr>
              <w:t>供应商</w:t>
            </w:r>
            <w:r>
              <w:rPr>
                <w:rFonts w:hint="eastAsia" w:ascii="宋体" w:hAnsi="宋体" w:eastAsia="宋体" w:cs="宋体"/>
                <w:szCs w:val="24"/>
                <w:highlight w:val="none"/>
              </w:rPr>
              <w:t>造成的损失。</w:t>
            </w:r>
          </w:p>
        </w:tc>
      </w:tr>
    </w:tbl>
    <w:p w14:paraId="2F1068C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373D4A"/>
    <w:rsid w:val="37DE5837"/>
    <w:rsid w:val="7D373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spacing w:line="360" w:lineRule="auto"/>
      <w:jc w:val="both"/>
    </w:pPr>
    <w:rPr>
      <w:rFonts w:ascii="Times New Roman" w:hAnsi="Times New Roman" w:eastAsia="宋体" w:cs="Times New Roman"/>
      <w:kern w:val="2"/>
      <w:sz w:val="24"/>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b/>
      <w:bCs/>
      <w:sz w:val="32"/>
      <w:szCs w:val="32"/>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annotation text"/>
    <w:basedOn w:val="1"/>
    <w:unhideWhenUsed/>
    <w:qFormat/>
    <w:uiPriority w:val="99"/>
    <w:pPr>
      <w:jc w:val="left"/>
    </w:pPr>
    <w:rPr>
      <w:sz w:val="21"/>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表格文字"/>
    <w:qFormat/>
    <w:uiPriority w:val="0"/>
    <w:pPr>
      <w:widowControl w:val="0"/>
      <w:snapToGrid w:val="0"/>
      <w:spacing w:before="25" w:after="25"/>
    </w:pPr>
    <w:rPr>
      <w:rFonts w:ascii="Times New Roman" w:hAnsi="Times New Roman" w:eastAsia="宋体" w:cs="Times New Roman"/>
      <w:bCs/>
      <w:spacing w:val="10"/>
      <w:sz w:val="24"/>
      <w:lang w:val="en-US" w:eastAsia="zh-CN" w:bidi="ar-SA"/>
    </w:rPr>
  </w:style>
  <w:style w:type="paragraph" w:styleId="8">
    <w:name w:val="List Paragraph"/>
    <w:basedOn w:val="1"/>
    <w:qFormat/>
    <w:uiPriority w:val="0"/>
    <w:pPr>
      <w:ind w:firstLine="420" w:firstLineChars="200"/>
    </w:pPr>
    <w:rPr>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2026-01-07T07:23:00Z</dcterms:created>
  <dc:creator>华伦-杨立敏</dc:creator>
  <cp:lastModifiedBy>华伦-杨立敏</cp:lastModifiedBy>
  <dcterms:modified xsi:type="dcterms:W3CDTF">2026-01-07T07:36:13Z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EB4AC654D5414FB9AA3CC54BEE2B1617_11</vt:lpwstr>
  </property>
  <property fmtid="{D5CDD505-2E9C-101B-9397-08002B2CF9AE}" pid="4" name="KSOTemplateDocerSaveRecord">
    <vt:lpwstr>eyJoZGlkIjoiZjJlMTY5YjQ2NGMwMzBlMmQ2ODg2OGE5MDFhMDc3ZmUiLCJ1c2VySWQiOiIzMTQ1MzkzMzUifQ==</vt:lpwstr>
  </property>
</Properties>
</file>